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3CF94" w14:textId="77777777" w:rsidR="00DD1F8A" w:rsidRPr="00DB03CA" w:rsidRDefault="00DD1F8A" w:rsidP="00DD1F8A">
      <w:pPr>
        <w:rPr>
          <w:u w:val="single"/>
        </w:rPr>
      </w:pPr>
      <w:r w:rsidRPr="00DB03CA">
        <w:rPr>
          <w:u w:val="single"/>
        </w:rPr>
        <w:t xml:space="preserve">PROJECT </w:t>
      </w:r>
      <w:r w:rsidRPr="00D90149">
        <w:rPr>
          <w:noProof/>
          <w:u w:val="single"/>
        </w:rPr>
        <w:t>TITLE</w:t>
      </w:r>
    </w:p>
    <w:p w14:paraId="5FDF2446" w14:textId="77777777" w:rsidR="00DD1F8A" w:rsidRPr="00450BCA" w:rsidRDefault="00DD1F8A" w:rsidP="00DD1F8A">
      <w:pPr>
        <w:rPr>
          <w:b/>
        </w:rPr>
      </w:pPr>
      <w:r w:rsidRPr="00450BCA">
        <w:rPr>
          <w:b/>
        </w:rPr>
        <w:t>Improving volatile organic compound emission estimates for the Uintah Basin</w:t>
      </w:r>
    </w:p>
    <w:p w14:paraId="0E7F8486" w14:textId="77777777" w:rsidR="00DD1F8A" w:rsidRPr="00DB03CA" w:rsidRDefault="00DD1F8A" w:rsidP="00DD1F8A">
      <w:pPr>
        <w:rPr>
          <w:u w:val="single"/>
        </w:rPr>
      </w:pPr>
      <w:r w:rsidRPr="00DB03CA">
        <w:rPr>
          <w:u w:val="single"/>
        </w:rPr>
        <w:t>APPLICANT INFORMATION</w:t>
      </w:r>
    </w:p>
    <w:p w14:paraId="4D0BBC28" w14:textId="77777777" w:rsidR="00DD1F8A" w:rsidRDefault="00DD1F8A" w:rsidP="00DD1F8A">
      <w:r>
        <w:t xml:space="preserve">Bingham Research Center - Utah State University </w:t>
      </w:r>
      <w:r>
        <w:br/>
        <w:t>Principal Investigator:  Trang Tran</w:t>
      </w:r>
      <w:r>
        <w:br/>
        <w:t>435-722-1770</w:t>
      </w:r>
      <w:r>
        <w:br/>
      </w:r>
      <w:hyperlink r:id="rId8" w:history="1">
        <w:r w:rsidRPr="00366434">
          <w:rPr>
            <w:rStyle w:val="Hyperlink"/>
          </w:rPr>
          <w:t>trang.tran@usu.edu</w:t>
        </w:r>
      </w:hyperlink>
    </w:p>
    <w:p w14:paraId="563E1C34" w14:textId="77777777" w:rsidR="00DD1F8A" w:rsidRDefault="00DD1F8A" w:rsidP="00DD1F8A">
      <w:r>
        <w:t>Co-Principal Investigator:  Huy Tran</w:t>
      </w:r>
      <w:r>
        <w:br/>
        <w:t>435-722-1773</w:t>
      </w:r>
      <w:r>
        <w:br/>
      </w:r>
      <w:hyperlink r:id="rId9" w:history="1">
        <w:r w:rsidRPr="00366434">
          <w:rPr>
            <w:rStyle w:val="Hyperlink"/>
          </w:rPr>
          <w:t>huy.tran@usu.edu</w:t>
        </w:r>
      </w:hyperlink>
    </w:p>
    <w:p w14:paraId="27CCD048" w14:textId="77777777" w:rsidR="00DD1F8A" w:rsidRPr="00DB03CA" w:rsidRDefault="00DD1F8A" w:rsidP="00DD1F8A">
      <w:pPr>
        <w:rPr>
          <w:u w:val="single"/>
        </w:rPr>
      </w:pPr>
      <w:r w:rsidRPr="00DB03CA">
        <w:rPr>
          <w:u w:val="single"/>
        </w:rPr>
        <w:t>SPONSORED PROJECTS/RESEARCH OFFICE INFORMATION</w:t>
      </w:r>
    </w:p>
    <w:p w14:paraId="775F2861" w14:textId="77777777" w:rsidR="00DD1F8A" w:rsidRDefault="00DD1F8A" w:rsidP="00DD1F8A">
      <w:r>
        <w:t>Contact name: Rich McKinnon</w:t>
      </w:r>
      <w:r>
        <w:br/>
        <w:t>Address: 1415 Old Main Hill, Logan, Utah 84322</w:t>
      </w:r>
      <w:r>
        <w:br/>
        <w:t>Phone: 435-797-1661</w:t>
      </w:r>
      <w:r>
        <w:br/>
        <w:t>Email address: rich.mckinnon@usu.edu</w:t>
      </w:r>
    </w:p>
    <w:p w14:paraId="189D035B" w14:textId="77777777" w:rsidR="00DD1F8A" w:rsidRPr="00DB03CA" w:rsidRDefault="00DD1F8A" w:rsidP="00DD1F8A">
      <w:pPr>
        <w:rPr>
          <w:u w:val="single"/>
        </w:rPr>
      </w:pPr>
      <w:r w:rsidRPr="00DB03CA">
        <w:rPr>
          <w:u w:val="single"/>
        </w:rPr>
        <w:t>FUNDING REQUESTED</w:t>
      </w:r>
    </w:p>
    <w:p w14:paraId="5A96861C" w14:textId="62EF539B" w:rsidR="00DD1F8A" w:rsidRDefault="00DD1F8A" w:rsidP="00DD1F8A">
      <w:r>
        <w:t>$</w:t>
      </w:r>
      <w:r w:rsidR="00F175B2">
        <w:t>140</w:t>
      </w:r>
      <w:r>
        <w:t>,000</w:t>
      </w:r>
      <w:r>
        <w:br/>
        <w:t>(To be matched by an additional $</w:t>
      </w:r>
      <w:r w:rsidR="005310D3">
        <w:t>46,342</w:t>
      </w:r>
      <w:r>
        <w:t xml:space="preserve"> from other funding sources.)</w:t>
      </w:r>
    </w:p>
    <w:p w14:paraId="5BA3C805" w14:textId="77777777" w:rsidR="00DD1F8A" w:rsidRPr="00DB03CA" w:rsidRDefault="00DD1F8A" w:rsidP="00DD1F8A">
      <w:pPr>
        <w:rPr>
          <w:u w:val="single"/>
        </w:rPr>
      </w:pPr>
      <w:r w:rsidRPr="00DB03CA">
        <w:rPr>
          <w:u w:val="single"/>
        </w:rPr>
        <w:t>PROJECT PERIOD</w:t>
      </w:r>
    </w:p>
    <w:p w14:paraId="353D5E94" w14:textId="77777777" w:rsidR="00DD1F8A" w:rsidRDefault="00DD1F8A" w:rsidP="00DD1F8A">
      <w:r w:rsidRPr="002A7DDC">
        <w:t xml:space="preserve">July 1, </w:t>
      </w:r>
      <w:r w:rsidRPr="00D90149">
        <w:rPr>
          <w:noProof/>
        </w:rPr>
        <w:t>2019</w:t>
      </w:r>
      <w:r>
        <w:rPr>
          <w:noProof/>
        </w:rPr>
        <w:t>,</w:t>
      </w:r>
      <w:r w:rsidRPr="002A7DDC">
        <w:t xml:space="preserve"> </w:t>
      </w:r>
      <w:r w:rsidRPr="00D90149">
        <w:t>t</w:t>
      </w:r>
      <w:r w:rsidRPr="002A7DDC">
        <w:t xml:space="preserve">o </w:t>
      </w:r>
      <w:r>
        <w:t>March</w:t>
      </w:r>
      <w:r w:rsidRPr="002A7DDC">
        <w:t xml:space="preserve"> 31, 20</w:t>
      </w:r>
      <w:r>
        <w:t>21</w:t>
      </w:r>
    </w:p>
    <w:p w14:paraId="0025327E" w14:textId="77777777" w:rsidR="003C1A27" w:rsidRDefault="003C1A27" w:rsidP="00DD1F8A">
      <w:pPr>
        <w:rPr>
          <w:b/>
          <w:bCs/>
        </w:rPr>
        <w:sectPr w:rsidR="003C1A27" w:rsidSect="00C3682E">
          <w:footerReference w:type="default" r:id="rId10"/>
          <w:pgSz w:w="12240" w:h="15840"/>
          <w:pgMar w:top="1440" w:right="1440" w:bottom="1440" w:left="1440" w:header="720" w:footer="720" w:gutter="0"/>
          <w:cols w:space="720"/>
          <w:docGrid w:linePitch="360"/>
        </w:sectPr>
      </w:pPr>
    </w:p>
    <w:p w14:paraId="66E9CB93" w14:textId="77777777" w:rsidR="00DD1F8A" w:rsidRPr="00DB03CA" w:rsidRDefault="00DD1F8A" w:rsidP="00DD1F8A">
      <w:pPr>
        <w:rPr>
          <w:b/>
          <w:bCs/>
          <w:sz w:val="26"/>
        </w:rPr>
      </w:pPr>
      <w:r>
        <w:rPr>
          <w:b/>
          <w:bCs/>
          <w:sz w:val="26"/>
        </w:rPr>
        <w:lastRenderedPageBreak/>
        <w:t>SCOPE OF WORK</w:t>
      </w:r>
    </w:p>
    <w:p w14:paraId="3233B227" w14:textId="77777777" w:rsidR="00DD1F8A" w:rsidRPr="00DB03CA" w:rsidRDefault="00DD1F8A" w:rsidP="00DD1F8A">
      <w:pPr>
        <w:rPr>
          <w:sz w:val="24"/>
        </w:rPr>
      </w:pPr>
      <w:r w:rsidRPr="00DB03CA">
        <w:rPr>
          <w:b/>
          <w:sz w:val="26"/>
        </w:rPr>
        <w:t>Abstract</w:t>
      </w:r>
      <w:r w:rsidRPr="00DB03CA">
        <w:rPr>
          <w:sz w:val="24"/>
        </w:rPr>
        <w:t xml:space="preserve"> </w:t>
      </w:r>
    </w:p>
    <w:p w14:paraId="04463D4A" w14:textId="77777777" w:rsidR="00DD1F8A" w:rsidRPr="00DB03CA" w:rsidRDefault="00DD1F8A" w:rsidP="00DD1F8A">
      <w:r w:rsidRPr="00DB03CA">
        <w:t xml:space="preserve">Recent studies </w:t>
      </w:r>
      <w:r>
        <w:t>of</w:t>
      </w:r>
      <w:r w:rsidRPr="00DB03CA">
        <w:t xml:space="preserve"> winter ozone pollution in</w:t>
      </w:r>
      <w:r>
        <w:t xml:space="preserve"> the</w:t>
      </w:r>
      <w:r w:rsidRPr="00DB03CA">
        <w:t xml:space="preserve"> Uintah Basin</w:t>
      </w:r>
      <w:r>
        <w:t xml:space="preserve"> have</w:t>
      </w:r>
      <w:r w:rsidRPr="00DB03CA">
        <w:t xml:space="preserve"> indicated that underestimation of organic compound</w:t>
      </w:r>
      <w:r>
        <w:t xml:space="preserve"> emissions</w:t>
      </w:r>
      <w:r w:rsidRPr="00DB03CA">
        <w:t xml:space="preserve"> and inadequate organic compound speciation profiles in existing oil and gas emission inventories are the main reasons leading to underestimation of ozone concentrations simulated by photochemical models. Improving </w:t>
      </w:r>
      <w:r>
        <w:t xml:space="preserve">the </w:t>
      </w:r>
      <w:r w:rsidRPr="00DB03CA">
        <w:t>emission inventory both in the total emission amount of organic compounds and speciation profiles</w:t>
      </w:r>
      <w:r>
        <w:t>,</w:t>
      </w:r>
      <w:r w:rsidRPr="00DB03CA">
        <w:t xml:space="preserve"> </w:t>
      </w:r>
      <w:r w:rsidRPr="00D90149">
        <w:rPr>
          <w:noProof/>
        </w:rPr>
        <w:t>therefore</w:t>
      </w:r>
      <w:r>
        <w:rPr>
          <w:noProof/>
        </w:rPr>
        <w:t>,</w:t>
      </w:r>
      <w:r w:rsidRPr="00DB03CA">
        <w:t xml:space="preserve"> are crucial tasks for</w:t>
      </w:r>
      <w:r>
        <w:t xml:space="preserve"> the</w:t>
      </w:r>
      <w:r w:rsidRPr="00DB03CA">
        <w:t xml:space="preserve"> policymaking process to improve Uintah Basin air quality.  We will carry out (1) distributed sampling and analysis of organic compounds, (2) receptor modeling, and (3) photochemical model simulations to (</w:t>
      </w:r>
      <w:proofErr w:type="spellStart"/>
      <w:r w:rsidRPr="00DB03CA">
        <w:t>i</w:t>
      </w:r>
      <w:proofErr w:type="spellEnd"/>
      <w:r w:rsidRPr="00DB03CA">
        <w:t>) resolve the deficient organic compound emission estimates in existing emission inventories and (ii) develop basin-wide spatial and source-type emission factors of organic compounds for 3D-photochemical simulations.  This study will result in</w:t>
      </w:r>
      <w:r>
        <w:t xml:space="preserve"> an</w:t>
      </w:r>
      <w:r w:rsidRPr="00DB03CA">
        <w:t xml:space="preserve"> improved oil and gas emission inventor</w:t>
      </w:r>
      <w:r>
        <w:t>y</w:t>
      </w:r>
      <w:r w:rsidRPr="00DB03CA">
        <w:t xml:space="preserve"> for photochemical simulations of winter ozone pollution events in </w:t>
      </w:r>
      <w:r>
        <w:t xml:space="preserve">the </w:t>
      </w:r>
      <w:r w:rsidRPr="00DB03CA">
        <w:t xml:space="preserve">Uintah Basin. </w:t>
      </w:r>
    </w:p>
    <w:p w14:paraId="15A9FF6D" w14:textId="68DC2086" w:rsidR="00DD1F8A" w:rsidRPr="00DB03CA" w:rsidRDefault="00DD1F8A" w:rsidP="00DD1F8A">
      <w:pPr>
        <w:rPr>
          <w:sz w:val="26"/>
        </w:rPr>
      </w:pPr>
      <w:r w:rsidRPr="00DB03CA">
        <w:rPr>
          <w:b/>
          <w:sz w:val="26"/>
        </w:rPr>
        <w:t>Basis and Rationale</w:t>
      </w:r>
      <w:r w:rsidRPr="00DB03CA">
        <w:rPr>
          <w:sz w:val="26"/>
        </w:rPr>
        <w:t xml:space="preserve"> </w:t>
      </w:r>
    </w:p>
    <w:p w14:paraId="35B8AD46" w14:textId="77777777" w:rsidR="00DD1F8A" w:rsidRPr="00DB03CA" w:rsidRDefault="00DD1F8A" w:rsidP="00DD1F8A">
      <w:r w:rsidRPr="00DB03CA">
        <w:t xml:space="preserve">The two comprehensive emission inventories (EI) developed for oil and gas exploration activities in </w:t>
      </w:r>
      <w:r>
        <w:t xml:space="preserve">the </w:t>
      </w:r>
      <w:r w:rsidRPr="00DB03CA">
        <w:t>Uintah Basin</w:t>
      </w:r>
      <w:r>
        <w:t>, including the</w:t>
      </w:r>
      <w:r w:rsidRPr="00DB03CA">
        <w:t xml:space="preserve"> 2006 Western Regional Air Partnership (WRAP) Phase III and 2014 Air Agencies Oil and Gas EI</w:t>
      </w:r>
      <w:r>
        <w:t>,</w:t>
      </w:r>
      <w:r w:rsidRPr="00DB03CA">
        <w:t xml:space="preserve"> </w:t>
      </w:r>
      <w:r>
        <w:t>contain</w:t>
      </w:r>
      <w:r w:rsidRPr="00DB03CA">
        <w:t xml:space="preserve"> </w:t>
      </w:r>
      <w:r>
        <w:t>large</w:t>
      </w:r>
      <w:r w:rsidRPr="00DB03CA">
        <w:t xml:space="preserve"> uncertainties for organic compounds in both</w:t>
      </w:r>
      <w:r>
        <w:t xml:space="preserve"> the</w:t>
      </w:r>
      <w:r w:rsidRPr="00DB03CA">
        <w:t xml:space="preserve"> total amount of emissions and the speciation profiles. </w:t>
      </w:r>
    </w:p>
    <w:p w14:paraId="08DC2482" w14:textId="77777777" w:rsidR="00DD1F8A" w:rsidRPr="00DB03CA" w:rsidRDefault="00DD1F8A" w:rsidP="00DD1F8A">
      <w:r w:rsidRPr="00DB03CA">
        <w:t xml:space="preserve">Being the first oil and gas EI available for </w:t>
      </w:r>
      <w:r>
        <w:t xml:space="preserve">the </w:t>
      </w:r>
      <w:r w:rsidRPr="00DB03CA">
        <w:t xml:space="preserve">Uintah Basin until 2014 Air Agencies EI </w:t>
      </w:r>
      <w:r w:rsidRPr="00D90149">
        <w:rPr>
          <w:noProof/>
        </w:rPr>
        <w:t>was released</w:t>
      </w:r>
      <w:r w:rsidRPr="00DB03CA">
        <w:t xml:space="preserve"> in 2016, </w:t>
      </w:r>
      <w:r w:rsidRPr="00D90149">
        <w:rPr>
          <w:noProof/>
        </w:rPr>
        <w:t>WRAPIII</w:t>
      </w:r>
      <w:r w:rsidRPr="00DB03CA">
        <w:t xml:space="preserve"> has been the most widely used EI in many photochemical modeling studies for the region. </w:t>
      </w:r>
      <w:r>
        <w:t xml:space="preserve">Photochemical models that utilized the </w:t>
      </w:r>
      <w:r w:rsidRPr="00D90149">
        <w:rPr>
          <w:noProof/>
        </w:rPr>
        <w:t>WRAPIII</w:t>
      </w:r>
      <w:r>
        <w:t xml:space="preserve"> EI</w:t>
      </w:r>
      <w:r w:rsidRPr="00DB03CA">
        <w:t xml:space="preserve"> failed to reproduce winter ozone pollution events in the basin. Ahmadov et al. (2015), Emery et al. (2015) and Matichuk et al. (2017) suggested that underestimation of organic compound emissions in </w:t>
      </w:r>
      <w:r w:rsidRPr="00D90149">
        <w:rPr>
          <w:noProof/>
        </w:rPr>
        <w:t>WRAPIII</w:t>
      </w:r>
      <w:r w:rsidRPr="00DB03CA">
        <w:t>-based EIs were likely to be the main reason of underestimation of elevated ozone concentrations during pollution episodes. Recently,</w:t>
      </w:r>
      <w:r>
        <w:t xml:space="preserve"> the</w:t>
      </w:r>
      <w:r w:rsidRPr="00DB03CA">
        <w:t xml:space="preserve"> Utah Department of Air Quality (UDAQ) developed </w:t>
      </w:r>
      <w:r>
        <w:t xml:space="preserve">the </w:t>
      </w:r>
      <w:r w:rsidRPr="00DB03CA">
        <w:t xml:space="preserve">survey-based 2014 Air Agencies Oil and Gas EI to </w:t>
      </w:r>
      <w:r>
        <w:t>account</w:t>
      </w:r>
      <w:r w:rsidRPr="00DB03CA">
        <w:t xml:space="preserve"> for </w:t>
      </w:r>
      <w:r>
        <w:t>changes to the oil and gas industry</w:t>
      </w:r>
      <w:r w:rsidRPr="00DB03CA">
        <w:t xml:space="preserve"> over the last decade. </w:t>
      </w:r>
      <w:r>
        <w:t>The s</w:t>
      </w:r>
      <w:r w:rsidRPr="00DB03CA">
        <w:t xml:space="preserve">urvey database </w:t>
      </w:r>
      <w:r>
        <w:t>used for</w:t>
      </w:r>
      <w:r w:rsidRPr="00DB03CA">
        <w:t xml:space="preserve"> this inventory, however, did not cover all oil and gas equipment/facility types</w:t>
      </w:r>
      <w:r>
        <w:t>. A</w:t>
      </w:r>
      <w:r w:rsidRPr="00DB03CA">
        <w:t>ssumptions were made to supplement the missing facilit</w:t>
      </w:r>
      <w:r>
        <w:t>y types</w:t>
      </w:r>
      <w:r w:rsidRPr="00DB03CA">
        <w:t xml:space="preserve"> with data collected by other inventories</w:t>
      </w:r>
      <w:r>
        <w:t>,</w:t>
      </w:r>
      <w:r w:rsidRPr="00DB03CA">
        <w:t xml:space="preserve"> such as the </w:t>
      </w:r>
      <w:r w:rsidRPr="00D90149">
        <w:rPr>
          <w:noProof/>
        </w:rPr>
        <w:t>WRAPIII</w:t>
      </w:r>
      <w:r w:rsidRPr="00DB03CA">
        <w:t xml:space="preserve"> EI (projected), UDAQ mass balance calculation</w:t>
      </w:r>
      <w:r>
        <w:t>s</w:t>
      </w:r>
      <w:r w:rsidRPr="00DB03CA">
        <w:t xml:space="preserve"> for evaporative pond emissions</w:t>
      </w:r>
      <w:r>
        <w:t>,</w:t>
      </w:r>
      <w:r w:rsidRPr="00DB03CA">
        <w:t xml:space="preserve"> and </w:t>
      </w:r>
      <w:r>
        <w:t xml:space="preserve">the </w:t>
      </w:r>
      <w:r w:rsidRPr="00DB03CA">
        <w:t>EPA oil and gas tool for mud degassing. Emissions of organic compounds estimated upon those assumptions make up about one half of 2014 Air Agencies EI total organic compound emissions from oil and gas facilit</w:t>
      </w:r>
      <w:r>
        <w:t>ies</w:t>
      </w:r>
      <w:r w:rsidRPr="00DB03CA">
        <w:t xml:space="preserve"> over</w:t>
      </w:r>
      <w:r>
        <w:t xml:space="preserve"> the</w:t>
      </w:r>
      <w:r w:rsidRPr="00DB03CA">
        <w:t xml:space="preserve"> entire Uintah Basin (UDAQ, 2018). </w:t>
      </w:r>
      <w:r>
        <w:t>Thus, i</w:t>
      </w:r>
      <w:r w:rsidRPr="00DB03CA">
        <w:t>t is likely that this</w:t>
      </w:r>
      <w:r>
        <w:t xml:space="preserve"> improved</w:t>
      </w:r>
      <w:r w:rsidRPr="00DB03CA">
        <w:t xml:space="preserve"> inventory still </w:t>
      </w:r>
      <w:r>
        <w:t>contains</w:t>
      </w:r>
      <w:r w:rsidRPr="00DB03CA">
        <w:t xml:space="preserve"> some uncertainties regarding emissions of organic compounds. </w:t>
      </w:r>
      <w:r>
        <w:t>The f</w:t>
      </w:r>
      <w:r w:rsidRPr="00DB03CA">
        <w:t xml:space="preserve">inal 2014 Air Agencies EI reported total organic compounds emitted from oil and gas activities in </w:t>
      </w:r>
      <w:r>
        <w:t xml:space="preserve">the </w:t>
      </w:r>
      <w:r w:rsidRPr="00DB03CA">
        <w:t xml:space="preserve">Uintah Basin were about 90,383 tons/year, which is lower </w:t>
      </w:r>
      <w:r>
        <w:t xml:space="preserve">than </w:t>
      </w:r>
      <w:r w:rsidRPr="00DB03CA">
        <w:t xml:space="preserve">the amount reported if </w:t>
      </w:r>
      <w:r>
        <w:t xml:space="preserve">the </w:t>
      </w:r>
      <w:r w:rsidRPr="00D90149">
        <w:rPr>
          <w:noProof/>
        </w:rPr>
        <w:t>WRAPIII</w:t>
      </w:r>
      <w:r w:rsidRPr="00DB03CA">
        <w:t xml:space="preserve"> EI were projected from 2011 to 2014 using production data (e.g., 133,380 tons/year) (Oswald, 2017, UDAQ, 2018). The most recent photochemical simulations of winter ozone concentrations for</w:t>
      </w:r>
      <w:r>
        <w:t xml:space="preserve"> the</w:t>
      </w:r>
      <w:r w:rsidRPr="00DB03CA">
        <w:t xml:space="preserve"> Uintah Basin (Lyman et al. (2018)</w:t>
      </w:r>
      <w:r>
        <w:t>),</w:t>
      </w:r>
      <w:r w:rsidRPr="00DB03CA">
        <w:t xml:space="preserve"> which applied </w:t>
      </w:r>
      <w:r>
        <w:t xml:space="preserve">the </w:t>
      </w:r>
      <w:r w:rsidRPr="00DB03CA">
        <w:t>2014 Air Agencies EI</w:t>
      </w:r>
      <w:r>
        <w:t>,</w:t>
      </w:r>
      <w:r w:rsidRPr="00DB03CA">
        <w:t xml:space="preserve"> still highly underestimated ozone concentrations during pollution events. Therefore, it is important to examine the accuracy of </w:t>
      </w:r>
      <w:r>
        <w:t>the</w:t>
      </w:r>
      <w:r w:rsidRPr="00DB03CA">
        <w:t xml:space="preserve"> 2014 Air Agencies EI regarding organic compound emissions for future use in photochemical models that </w:t>
      </w:r>
      <w:r>
        <w:t xml:space="preserve">will </w:t>
      </w:r>
      <w:r w:rsidRPr="00DB03CA">
        <w:t xml:space="preserve">support </w:t>
      </w:r>
      <w:r>
        <w:t xml:space="preserve">the </w:t>
      </w:r>
      <w:r w:rsidRPr="00DB03CA">
        <w:t>policymaking process.</w:t>
      </w:r>
    </w:p>
    <w:p w14:paraId="00714D0C" w14:textId="42A615E2" w:rsidR="00DD1F8A" w:rsidRDefault="00DD1F8A" w:rsidP="00DD1F8A">
      <w:pPr>
        <w:rPr>
          <w:noProof/>
        </w:rPr>
      </w:pPr>
      <w:r w:rsidRPr="00DB03CA">
        <w:lastRenderedPageBreak/>
        <w:t xml:space="preserve">Besides </w:t>
      </w:r>
      <w:r>
        <w:t xml:space="preserve">the </w:t>
      </w:r>
      <w:r w:rsidRPr="00D90149">
        <w:rPr>
          <w:noProof/>
        </w:rPr>
        <w:t>aforementioned uncertainties</w:t>
      </w:r>
      <w:r w:rsidRPr="00DB03CA">
        <w:t xml:space="preserve"> in total emissions of organic compounds, organic compound speciation profiles are also important missing pieces in current emission inventories. Emery et al. (2015) and Lyman (2015) indicated that simulated ozone concentrations in</w:t>
      </w:r>
      <w:r>
        <w:t xml:space="preserve"> the</w:t>
      </w:r>
      <w:r w:rsidRPr="00DB03CA">
        <w:t xml:space="preserve"> Uintah Basin were highly sensitive to carbonyls </w:t>
      </w:r>
      <w:proofErr w:type="spellStart"/>
      <w:r w:rsidRPr="00DB03CA">
        <w:t>speciated</w:t>
      </w:r>
      <w:proofErr w:type="spellEnd"/>
      <w:r w:rsidRPr="00DB03CA">
        <w:t xml:space="preserve"> </w:t>
      </w:r>
      <w:r w:rsidRPr="00D90149">
        <w:rPr>
          <w:noProof/>
        </w:rPr>
        <w:t>in organic</w:t>
      </w:r>
      <w:r w:rsidRPr="00DB03CA">
        <w:t xml:space="preserve"> compound profiles. </w:t>
      </w:r>
      <w:r w:rsidRPr="00D90149">
        <w:rPr>
          <w:noProof/>
        </w:rPr>
        <w:t>Yet,</w:t>
      </w:r>
      <w:r w:rsidRPr="00DB03CA">
        <w:t xml:space="preserve"> such information is inadequate in current organic compound speciation profiles (Lyman, 2015). </w:t>
      </w:r>
      <w:r w:rsidRPr="00D90149">
        <w:rPr>
          <w:noProof/>
        </w:rPr>
        <w:t>WRAPIII</w:t>
      </w:r>
      <w:r w:rsidRPr="00DB03CA">
        <w:t xml:space="preserve"> has so far provided the most representative organic compound speciation profiles for Uintah Basin oil and gas activities</w:t>
      </w:r>
      <w:r w:rsidR="007F55DC">
        <w:t>.</w:t>
      </w:r>
      <w:r>
        <w:t xml:space="preserve"> Profiles in </w:t>
      </w:r>
      <w:r w:rsidRPr="00D90149">
        <w:rPr>
          <w:noProof/>
        </w:rPr>
        <w:t>WRAPIII</w:t>
      </w:r>
      <w:r>
        <w:t xml:space="preserve"> were derived from</w:t>
      </w:r>
      <w:r w:rsidRPr="00DB03CA">
        <w:t xml:space="preserve"> averaging gas profiles obtained from GC/MS analysis of</w:t>
      </w:r>
      <w:r>
        <w:t xml:space="preserve"> a few</w:t>
      </w:r>
      <w:r w:rsidRPr="00DB03CA">
        <w:t xml:space="preserve"> produced and flash gas samples collected at several wells and tanks (Hsu et al., 2016). Thus, they are not fully representative of actual emissions from more than 11,000 oil and gas wells in the Uintah Basin</w:t>
      </w:r>
      <w:r w:rsidRPr="00D90149">
        <w:rPr>
          <w:noProof/>
        </w:rPr>
        <w:t>.</w:t>
      </w:r>
    </w:p>
    <w:p w14:paraId="15A57338" w14:textId="76803662" w:rsidR="00DD1F8A" w:rsidRPr="00DB03CA" w:rsidRDefault="00DD1F8A" w:rsidP="00DD1F8A">
      <w:r w:rsidRPr="00D90149">
        <w:rPr>
          <w:noProof/>
        </w:rPr>
        <w:t>Moreover</w:t>
      </w:r>
      <w:r w:rsidRPr="00D90149">
        <w:t>, t</w:t>
      </w:r>
      <w:r w:rsidRPr="00DB03CA">
        <w:t xml:space="preserve">hese profiles did not include measurements of carbonyls, which are more </w:t>
      </w:r>
      <w:proofErr w:type="spellStart"/>
      <w:r w:rsidRPr="00DB03CA">
        <w:t>photochemically</w:t>
      </w:r>
      <w:proofErr w:type="spellEnd"/>
      <w:r w:rsidRPr="00DB03CA">
        <w:t xml:space="preserve"> reactive than hydrocarbons. </w:t>
      </w:r>
      <w:r>
        <w:t>The o</w:t>
      </w:r>
      <w:r w:rsidRPr="00DB03CA">
        <w:t xml:space="preserve">n-going Uintah Basin Composition Study conducted by UDAQ will provide </w:t>
      </w:r>
      <w:r>
        <w:t xml:space="preserve">measurement-based </w:t>
      </w:r>
      <w:r w:rsidRPr="00DB03CA">
        <w:t xml:space="preserve">flash gas and raw gas speciation profiles that carry geologic formation resolution for </w:t>
      </w:r>
      <w:r>
        <w:t xml:space="preserve">a </w:t>
      </w:r>
      <w:r w:rsidRPr="00DB03CA">
        <w:t>majority</w:t>
      </w:r>
      <w:r>
        <w:t xml:space="preserve"> of the</w:t>
      </w:r>
      <w:r w:rsidRPr="00DB03CA">
        <w:t xml:space="preserve"> area of </w:t>
      </w:r>
      <w:r>
        <w:t xml:space="preserve">the </w:t>
      </w:r>
      <w:r w:rsidRPr="00DB03CA">
        <w:t xml:space="preserve">Uintah Basin. However, these are still not direct measurements of emissions from actual emissions or leaks. Attributing these two types of organic compound speciation profiles (e.g., flash gas and raw gas profiles) to </w:t>
      </w:r>
      <w:r>
        <w:t xml:space="preserve">the </w:t>
      </w:r>
      <w:r w:rsidRPr="00DB03CA">
        <w:t xml:space="preserve">more than 20 different emission source categories listed in </w:t>
      </w:r>
      <w:r>
        <w:t xml:space="preserve">the </w:t>
      </w:r>
      <w:r w:rsidRPr="00DB03CA">
        <w:t>current EI is still quite a rough assumption</w:t>
      </w:r>
      <w:r>
        <w:t xml:space="preserve"> and is therefore </w:t>
      </w:r>
      <w:r w:rsidRPr="00DB03CA">
        <w:t xml:space="preserve">likely to carry with it uncertainties that need to </w:t>
      </w:r>
      <w:r w:rsidRPr="00D90149">
        <w:rPr>
          <w:noProof/>
        </w:rPr>
        <w:t>be addressed</w:t>
      </w:r>
      <w:r w:rsidRPr="00DB03CA">
        <w:t xml:space="preserve">. Lyman’s (2015) direct emission measurements at few oil and gas facilities in Uintah Basin indicated that organic compound emission speciation profiles differ among different equipment types (e.g., </w:t>
      </w:r>
      <w:r>
        <w:t xml:space="preserve">oil tanks vs. condensate tanks, </w:t>
      </w:r>
      <w:r w:rsidRPr="00DB03CA">
        <w:t>glycol dehydrator</w:t>
      </w:r>
      <w:r>
        <w:t>s vs.</w:t>
      </w:r>
      <w:r w:rsidRPr="00DB03CA">
        <w:t xml:space="preserve"> pump jack engine</w:t>
      </w:r>
      <w:r>
        <w:t>s</w:t>
      </w:r>
      <w:r w:rsidRPr="00DB03CA">
        <w:t xml:space="preserve">, etc.). </w:t>
      </w:r>
      <w:r>
        <w:t xml:space="preserve">While USU will be collecting additional direct measurements of emissions in coming months, </w:t>
      </w:r>
      <w:r w:rsidRPr="00DB03CA">
        <w:t xml:space="preserve">direct measurements for </w:t>
      </w:r>
      <w:r>
        <w:t xml:space="preserve">the </w:t>
      </w:r>
      <w:r w:rsidRPr="00DB03CA">
        <w:t>more than 11,000 well facilities in</w:t>
      </w:r>
      <w:r>
        <w:t xml:space="preserve"> the</w:t>
      </w:r>
      <w:r w:rsidRPr="00DB03CA">
        <w:t xml:space="preserve"> Uintah Basin is not feasible</w:t>
      </w:r>
      <w:r>
        <w:t>.  Thus, i</w:t>
      </w:r>
      <w:r w:rsidRPr="00DB03CA">
        <w:t>t is important to find an alternative approach to develop</w:t>
      </w:r>
      <w:r>
        <w:t xml:space="preserve">ing an </w:t>
      </w:r>
      <w:r w:rsidRPr="00DB03CA">
        <w:t>organic compound speciation profile database that carr</w:t>
      </w:r>
      <w:r>
        <w:t>ies</w:t>
      </w:r>
      <w:r w:rsidRPr="00DB03CA">
        <w:t xml:space="preserve"> geologic formation and equipment type dependences. </w:t>
      </w:r>
      <w:r w:rsidR="00A2049B">
        <w:t>Such</w:t>
      </w:r>
      <w:r>
        <w:t xml:space="preserve"> </w:t>
      </w:r>
      <w:r w:rsidRPr="00DB03CA">
        <w:t xml:space="preserve">database is extremely crucial for photochemical models to correctly simulate ozone concentration distribution within </w:t>
      </w:r>
      <w:r>
        <w:t xml:space="preserve">the </w:t>
      </w:r>
      <w:r w:rsidRPr="00DB03CA">
        <w:t>Uintah Basin during pollution events.</w:t>
      </w:r>
    </w:p>
    <w:p w14:paraId="0741E51E" w14:textId="77777777" w:rsidR="00DD1F8A" w:rsidRPr="00DB03CA" w:rsidRDefault="00DD1F8A" w:rsidP="00DD1F8A">
      <w:r w:rsidRPr="00DB03CA">
        <w:t xml:space="preserve">Here we propose to conduct a synthesis analysis study combining measurements, receptor model analysis </w:t>
      </w:r>
      <w:r w:rsidRPr="00D90149">
        <w:rPr>
          <w:noProof/>
        </w:rPr>
        <w:t>and</w:t>
      </w:r>
      <w:r w:rsidRPr="00DB03CA">
        <w:t xml:space="preserve"> photochemical simulations to resolve the deficient organic compound emission estimates in existing emission inventories and to develop spatial and source-type emission factors of organic compounds for 3D-photochemical simulations. </w:t>
      </w:r>
    </w:p>
    <w:p w14:paraId="05FF709A" w14:textId="77777777" w:rsidR="00DD1F8A" w:rsidRPr="00DB03CA" w:rsidRDefault="00DD1F8A" w:rsidP="00DD1F8A">
      <w:pPr>
        <w:rPr>
          <w:sz w:val="26"/>
        </w:rPr>
      </w:pPr>
      <w:r w:rsidRPr="00DB03CA">
        <w:rPr>
          <w:b/>
          <w:sz w:val="26"/>
        </w:rPr>
        <w:t>Technical Approach</w:t>
      </w:r>
      <w:r w:rsidRPr="00DB03CA">
        <w:rPr>
          <w:sz w:val="26"/>
        </w:rPr>
        <w:t xml:space="preserve"> </w:t>
      </w:r>
    </w:p>
    <w:p w14:paraId="338F84B9" w14:textId="77777777" w:rsidR="00DD1F8A" w:rsidRPr="00DB03CA" w:rsidRDefault="00DD1F8A" w:rsidP="00DD1F8A">
      <w:pPr>
        <w:pStyle w:val="xmsonormal"/>
        <w:shd w:val="clear" w:color="auto" w:fill="FFFFFF"/>
        <w:spacing w:before="0" w:beforeAutospacing="0" w:after="0" w:afterAutospacing="0"/>
        <w:rPr>
          <w:rFonts w:ascii="Calibri" w:hAnsi="Calibri" w:cs="Calibri"/>
          <w:sz w:val="22"/>
          <w:szCs w:val="22"/>
        </w:rPr>
      </w:pPr>
      <w:r w:rsidRPr="00DB03CA">
        <w:rPr>
          <w:rFonts w:ascii="Calibri" w:hAnsi="Calibri" w:cs="Calibri"/>
          <w:sz w:val="22"/>
          <w:szCs w:val="22"/>
        </w:rPr>
        <w:t xml:space="preserve">This study will include three main tasks: (1) distributed sampling and analysis of organic compounds, (2) receptor modeling, and (3) photochemical model simulations.  Details about each task </w:t>
      </w:r>
      <w:r w:rsidRPr="00D90149">
        <w:rPr>
          <w:rFonts w:ascii="Calibri" w:hAnsi="Calibri" w:cs="Calibri"/>
          <w:noProof/>
          <w:sz w:val="22"/>
          <w:szCs w:val="22"/>
        </w:rPr>
        <w:t>are given</w:t>
      </w:r>
      <w:r w:rsidRPr="00DB03CA">
        <w:rPr>
          <w:rFonts w:ascii="Calibri" w:hAnsi="Calibri" w:cs="Calibri"/>
          <w:sz w:val="22"/>
          <w:szCs w:val="22"/>
        </w:rPr>
        <w:t xml:space="preserve"> below.  This study is a continuation of a pilot study we are currently carrying out with funding from the Utah Legislature and the Uintah Impact Mitigation Special Service District.  The proposed work will leverage the following resources owned by Bingham Research Center resulting from their previous and on-going studies supported by other funding sources: </w:t>
      </w:r>
    </w:p>
    <w:p w14:paraId="23E374F4" w14:textId="77777777" w:rsidR="00DD1F8A" w:rsidRPr="00DB03CA" w:rsidRDefault="00DD1F8A" w:rsidP="00DD1F8A">
      <w:pPr>
        <w:pStyle w:val="xmsonormal"/>
        <w:numPr>
          <w:ilvl w:val="0"/>
          <w:numId w:val="15"/>
        </w:numPr>
        <w:shd w:val="clear" w:color="auto" w:fill="FFFFFF"/>
        <w:spacing w:before="0" w:beforeAutospacing="0" w:after="0" w:afterAutospacing="0"/>
        <w:rPr>
          <w:rFonts w:ascii="Calibri" w:hAnsi="Calibri" w:cs="Calibri"/>
          <w:sz w:val="22"/>
          <w:szCs w:val="22"/>
        </w:rPr>
      </w:pPr>
      <w:r w:rsidRPr="00DB03CA">
        <w:rPr>
          <w:rFonts w:ascii="Calibri" w:hAnsi="Calibri" w:cs="Calibri"/>
          <w:sz w:val="22"/>
          <w:szCs w:val="22"/>
        </w:rPr>
        <w:t xml:space="preserve">The equipment built and tested and the analysis performed during the pilot study, </w:t>
      </w:r>
    </w:p>
    <w:p w14:paraId="680A7843" w14:textId="77777777" w:rsidR="00DD1F8A" w:rsidRDefault="00DD1F8A" w:rsidP="00DD1F8A">
      <w:pPr>
        <w:pStyle w:val="xmsonormal"/>
        <w:numPr>
          <w:ilvl w:val="0"/>
          <w:numId w:val="15"/>
        </w:numPr>
        <w:shd w:val="clear" w:color="auto" w:fill="FFFFFF"/>
        <w:spacing w:before="0" w:beforeAutospacing="0" w:after="0" w:afterAutospacing="0"/>
        <w:rPr>
          <w:rFonts w:ascii="Calibri" w:hAnsi="Calibri" w:cs="Calibri"/>
          <w:sz w:val="22"/>
          <w:szCs w:val="22"/>
        </w:rPr>
      </w:pPr>
      <w:r w:rsidRPr="00521115">
        <w:rPr>
          <w:rFonts w:ascii="Calibri" w:hAnsi="Calibri" w:cs="Calibri"/>
          <w:sz w:val="22"/>
          <w:szCs w:val="22"/>
        </w:rPr>
        <w:t xml:space="preserve">Simulation hours using computational resources provided by previous and on-going modeling-related projects and </w:t>
      </w:r>
    </w:p>
    <w:p w14:paraId="74B48CB3" w14:textId="77777777" w:rsidR="00DD1F8A" w:rsidRPr="00521115" w:rsidRDefault="00DD1F8A" w:rsidP="0008016E">
      <w:pPr>
        <w:pStyle w:val="xmsonormal"/>
        <w:numPr>
          <w:ilvl w:val="0"/>
          <w:numId w:val="15"/>
        </w:numPr>
        <w:shd w:val="clear" w:color="auto" w:fill="FFFFFF"/>
        <w:spacing w:before="0" w:beforeAutospacing="0" w:after="160" w:afterAutospacing="0"/>
        <w:rPr>
          <w:rFonts w:ascii="Calibri" w:hAnsi="Calibri" w:cs="Calibri"/>
          <w:sz w:val="22"/>
          <w:szCs w:val="22"/>
        </w:rPr>
      </w:pPr>
      <w:r w:rsidRPr="003D105B">
        <w:rPr>
          <w:rFonts w:ascii="Calibri" w:hAnsi="Calibri" w:cs="Calibri"/>
          <w:sz w:val="22"/>
          <w:szCs w:val="22"/>
        </w:rPr>
        <w:t>M</w:t>
      </w:r>
      <w:r>
        <w:rPr>
          <w:rFonts w:ascii="Calibri" w:hAnsi="Calibri" w:cs="Calibri"/>
          <w:sz w:val="22"/>
          <w:szCs w:val="22"/>
        </w:rPr>
        <w:t>odifications made to meteorological</w:t>
      </w:r>
      <w:r w:rsidRPr="003D105B">
        <w:rPr>
          <w:rFonts w:ascii="Calibri" w:hAnsi="Calibri" w:cs="Calibri"/>
          <w:sz w:val="22"/>
          <w:szCs w:val="22"/>
        </w:rPr>
        <w:t xml:space="preserve"> model c</w:t>
      </w:r>
      <w:r>
        <w:rPr>
          <w:rFonts w:ascii="Calibri" w:hAnsi="Calibri" w:cs="Calibri"/>
          <w:sz w:val="22"/>
          <w:szCs w:val="22"/>
        </w:rPr>
        <w:t xml:space="preserve">alculations for better simulation of </w:t>
      </w:r>
      <w:r w:rsidRPr="003D105B">
        <w:rPr>
          <w:rFonts w:ascii="Calibri" w:hAnsi="Calibri" w:cs="Calibri"/>
          <w:sz w:val="22"/>
          <w:szCs w:val="22"/>
        </w:rPr>
        <w:t xml:space="preserve">inversion conditions contributing to winter ozone pollution events in </w:t>
      </w:r>
      <w:r>
        <w:rPr>
          <w:rFonts w:ascii="Calibri" w:hAnsi="Calibri" w:cs="Calibri"/>
          <w:sz w:val="22"/>
          <w:szCs w:val="22"/>
        </w:rPr>
        <w:t xml:space="preserve">the </w:t>
      </w:r>
      <w:r w:rsidRPr="003D105B">
        <w:rPr>
          <w:rFonts w:ascii="Calibri" w:hAnsi="Calibri" w:cs="Calibri"/>
          <w:sz w:val="22"/>
          <w:szCs w:val="22"/>
        </w:rPr>
        <w:t>Uintah Basin (Lyman et al., 2018). Such modific</w:t>
      </w:r>
      <w:r>
        <w:rPr>
          <w:rFonts w:ascii="Calibri" w:hAnsi="Calibri" w:cs="Calibri"/>
          <w:sz w:val="22"/>
          <w:szCs w:val="22"/>
        </w:rPr>
        <w:t>ations include data assimilation</w:t>
      </w:r>
      <w:r w:rsidRPr="003D105B">
        <w:rPr>
          <w:rFonts w:ascii="Calibri" w:hAnsi="Calibri" w:cs="Calibri"/>
          <w:sz w:val="22"/>
          <w:szCs w:val="22"/>
        </w:rPr>
        <w:t xml:space="preserve"> (e.g., nudging) with vertical </w:t>
      </w:r>
      <w:r w:rsidRPr="003D105B">
        <w:rPr>
          <w:rFonts w:ascii="Calibri" w:hAnsi="Calibri" w:cs="Calibri"/>
          <w:sz w:val="22"/>
          <w:szCs w:val="22"/>
        </w:rPr>
        <w:lastRenderedPageBreak/>
        <w:t>meteorologic</w:t>
      </w:r>
      <w:r>
        <w:rPr>
          <w:rFonts w:ascii="Calibri" w:hAnsi="Calibri" w:cs="Calibri"/>
          <w:sz w:val="22"/>
          <w:szCs w:val="22"/>
        </w:rPr>
        <w:t>al profiles collected by USU for winter 2018-2019 and subsequent winters</w:t>
      </w:r>
      <w:r w:rsidRPr="003D105B">
        <w:rPr>
          <w:rFonts w:ascii="Calibri" w:hAnsi="Calibri" w:cs="Calibri"/>
          <w:sz w:val="22"/>
          <w:szCs w:val="22"/>
        </w:rPr>
        <w:t xml:space="preserve"> using drone technology.</w:t>
      </w:r>
    </w:p>
    <w:p w14:paraId="4D8695D4" w14:textId="77777777" w:rsidR="00DD1F8A" w:rsidRPr="00521115" w:rsidRDefault="00DD1F8A" w:rsidP="0008016E">
      <w:pPr>
        <w:rPr>
          <w:b/>
        </w:rPr>
      </w:pPr>
      <w:r>
        <w:rPr>
          <w:b/>
        </w:rPr>
        <w:t xml:space="preserve">Task 1: </w:t>
      </w:r>
      <w:r w:rsidRPr="00521115">
        <w:rPr>
          <w:b/>
        </w:rPr>
        <w:t xml:space="preserve">Sampling and </w:t>
      </w:r>
      <w:r>
        <w:rPr>
          <w:b/>
        </w:rPr>
        <w:t>A</w:t>
      </w:r>
      <w:r w:rsidRPr="00521115">
        <w:rPr>
          <w:b/>
        </w:rPr>
        <w:t xml:space="preserve">nalysis of </w:t>
      </w:r>
      <w:r>
        <w:rPr>
          <w:b/>
        </w:rPr>
        <w:t>O</w:t>
      </w:r>
      <w:r w:rsidRPr="00521115">
        <w:rPr>
          <w:b/>
        </w:rPr>
        <w:t xml:space="preserve">rganic </w:t>
      </w:r>
      <w:r>
        <w:rPr>
          <w:b/>
        </w:rPr>
        <w:t>C</w:t>
      </w:r>
      <w:r w:rsidRPr="00521115">
        <w:rPr>
          <w:b/>
        </w:rPr>
        <w:t>ompounds</w:t>
      </w:r>
    </w:p>
    <w:p w14:paraId="3F2EC7F3" w14:textId="77777777" w:rsidR="00DD1F8A" w:rsidRPr="00DB03CA" w:rsidRDefault="00DD1F8A" w:rsidP="00DD1F8A">
      <w:pPr>
        <w:rPr>
          <w:b/>
        </w:rPr>
      </w:pPr>
      <w:r>
        <w:rPr>
          <w:b/>
        </w:rPr>
        <w:t xml:space="preserve">Task </w:t>
      </w:r>
      <w:r w:rsidRPr="00521115">
        <w:rPr>
          <w:b/>
        </w:rPr>
        <w:t>1.1</w:t>
      </w:r>
      <w:r>
        <w:rPr>
          <w:b/>
        </w:rPr>
        <w:t>:</w:t>
      </w:r>
      <w:r w:rsidRPr="00521115">
        <w:rPr>
          <w:b/>
        </w:rPr>
        <w:t xml:space="preserve">  Portable Sampling Station</w:t>
      </w:r>
      <w:r w:rsidRPr="00DB03CA">
        <w:rPr>
          <w:b/>
        </w:rPr>
        <w:t>s</w:t>
      </w:r>
    </w:p>
    <w:p w14:paraId="00B97844" w14:textId="77777777" w:rsidR="00DD1F8A" w:rsidRDefault="00DD1F8A" w:rsidP="00DD1F8A">
      <w:r>
        <w:t xml:space="preserve">This winter (winter 2018-19) we (i.e., Bingham Research Center (BRC)) have built and are deploying 14 portable organic compound sampling stations (six deployments planned).  The sampling stations are solar-powered tripods with a small, heated housing for air sample collection, measurement, and control (via a raspberry pi microcomputer).  </w:t>
      </w:r>
    </w:p>
    <w:p w14:paraId="66478B03" w14:textId="77777777" w:rsidR="00DD1F8A" w:rsidRDefault="00DD1F8A" w:rsidP="00DD1F8A">
      <w:r>
        <w:t>We collect formaldehyde and other carbonyl compounds with this system via a small pump and flow control device to pull air through a filtered inlet and then through a cartridge filled with 2</w:t>
      </w:r>
      <w:proofErr w:type="gramStart"/>
      <w:r>
        <w:t>,4</w:t>
      </w:r>
      <w:proofErr w:type="gramEnd"/>
      <w:r>
        <w:t xml:space="preserve">-dinitrophenylhydrazine (DNPH)-coated silica beads.  The first portion of each cartridge </w:t>
      </w:r>
      <w:r w:rsidRPr="00D90149">
        <w:rPr>
          <w:noProof/>
        </w:rPr>
        <w:t>is packed</w:t>
      </w:r>
      <w:r>
        <w:t xml:space="preserve"> with 1</w:t>
      </w:r>
      <w:proofErr w:type="gramStart"/>
      <w:r>
        <w:t>,2</w:t>
      </w:r>
      <w:proofErr w:type="gramEnd"/>
      <w:r>
        <w:t xml:space="preserve">-bis(2-pyridyl) ethylene (BPE)-coated silica beads, which scrubs ozone and reduces sampling artifacts.  Carbonyl compounds are retained in the cartridge, while other gas-phase compounds pass through.  We collect light alcohols and C2-C10 hydrocarbons in evacuated </w:t>
      </w:r>
      <w:proofErr w:type="spellStart"/>
      <w:r>
        <w:t>silonite</w:t>
      </w:r>
      <w:proofErr w:type="spellEnd"/>
      <w:r>
        <w:t>-coated stainless steel canisters.  Some of the stations also include meteorological measurement systems.  We deploy the stations for six-hour sample collection periods, which is the longest deployment period possible before significant breakthrough occurs on the DNPH cartridges.  Sampling times can be programmed in advance or triggered remotely via cellular communication.</w:t>
      </w:r>
    </w:p>
    <w:p w14:paraId="61ACE8C7" w14:textId="77777777" w:rsidR="00DD1F8A" w:rsidRDefault="00DD1F8A" w:rsidP="00DD1F8A">
      <w:r>
        <w:t xml:space="preserve">These 14 stations will be available for the proposed winter 2019-20 work, and we propose to build six additional stations.  </w:t>
      </w:r>
    </w:p>
    <w:p w14:paraId="416AF4CE" w14:textId="77777777" w:rsidR="00DD1F8A" w:rsidRPr="00DB03CA" w:rsidRDefault="00DD1F8A" w:rsidP="00DD1F8A">
      <w:pPr>
        <w:rPr>
          <w:b/>
        </w:rPr>
      </w:pPr>
      <w:r>
        <w:rPr>
          <w:b/>
        </w:rPr>
        <w:t xml:space="preserve">Task </w:t>
      </w:r>
      <w:r w:rsidRPr="00DB03CA">
        <w:rPr>
          <w:b/>
        </w:rPr>
        <w:t>1.2</w:t>
      </w:r>
      <w:r>
        <w:rPr>
          <w:b/>
        </w:rPr>
        <w:t>:</w:t>
      </w:r>
      <w:r w:rsidRPr="00DB03CA">
        <w:rPr>
          <w:b/>
        </w:rPr>
        <w:t xml:space="preserve"> Portable Sampling Station Deployment </w:t>
      </w:r>
      <w:r>
        <w:rPr>
          <w:b/>
        </w:rPr>
        <w:t>C</w:t>
      </w:r>
      <w:r w:rsidRPr="00DB03CA">
        <w:rPr>
          <w:b/>
        </w:rPr>
        <w:t>onfiguration</w:t>
      </w:r>
    </w:p>
    <w:p w14:paraId="3F3E6CDC" w14:textId="77777777" w:rsidR="00DD1F8A" w:rsidRDefault="00DD1F8A" w:rsidP="00DD1F8A">
      <w:r>
        <w:t xml:space="preserve">This winter (2018-19), we are conducting deployments in different configurations and different areas of the Uinta Basin to determine sampling methods that will be most successful and to provide </w:t>
      </w:r>
      <w:r w:rsidRPr="00D90149">
        <w:rPr>
          <w:noProof/>
        </w:rPr>
        <w:t>a first</w:t>
      </w:r>
      <w:r>
        <w:t xml:space="preserve"> round of measurements for analysis and comparison against photochemical model output.  Configurations we will test include:</w:t>
      </w:r>
    </w:p>
    <w:p w14:paraId="58E30E95" w14:textId="77777777" w:rsidR="00DD1F8A" w:rsidRPr="003F061F" w:rsidRDefault="00DD1F8A" w:rsidP="00DD1F8A">
      <w:pPr>
        <w:pStyle w:val="ListParagraph"/>
        <w:numPr>
          <w:ilvl w:val="0"/>
          <w:numId w:val="19"/>
        </w:numPr>
      </w:pPr>
      <w:r w:rsidRPr="00D90149">
        <w:rPr>
          <w:noProof/>
        </w:rPr>
        <w:t>Stations</w:t>
      </w:r>
      <w:r>
        <w:t xml:space="preserve"> in a cluster around particular sources or groups of sources, including oil wells, gas wells, gas wells with glycol dehydrators, compressor stations, gas processing plants, etc.  We will compare measured emission plume speciation against available speciation profiles, </w:t>
      </w:r>
      <w:r w:rsidRPr="003F061F">
        <w:t xml:space="preserve">including those developed for the ongoing Uinta Basin Composition Study, which is sponsored by Utah DAQ. </w:t>
      </w:r>
      <w:r w:rsidRPr="00D90149">
        <w:rPr>
          <w:rFonts w:ascii="Calibri" w:hAnsi="Calibri" w:cs="Calibri"/>
          <w:noProof/>
        </w:rPr>
        <w:t>This</w:t>
      </w:r>
      <w:r w:rsidRPr="00DB03CA">
        <w:rPr>
          <w:rFonts w:ascii="Calibri" w:hAnsi="Calibri" w:cs="Calibri"/>
        </w:rPr>
        <w:t xml:space="preserve"> will </w:t>
      </w:r>
      <w:r>
        <w:rPr>
          <w:rFonts w:ascii="Calibri" w:hAnsi="Calibri" w:cs="Calibri"/>
        </w:rPr>
        <w:t xml:space="preserve">also </w:t>
      </w:r>
      <w:r w:rsidRPr="00DB03CA">
        <w:rPr>
          <w:rFonts w:ascii="Calibri" w:hAnsi="Calibri" w:cs="Calibri"/>
        </w:rPr>
        <w:t xml:space="preserve">help us </w:t>
      </w:r>
      <w:r>
        <w:rPr>
          <w:rFonts w:ascii="Calibri" w:hAnsi="Calibri" w:cs="Calibri"/>
        </w:rPr>
        <w:t>determine</w:t>
      </w:r>
      <w:r w:rsidRPr="00DB03CA">
        <w:rPr>
          <w:rFonts w:ascii="Calibri" w:hAnsi="Calibri" w:cs="Calibri"/>
        </w:rPr>
        <w:t xml:space="preserve"> constraining factors for receptor model runs. </w:t>
      </w:r>
    </w:p>
    <w:p w14:paraId="19B36217" w14:textId="77777777" w:rsidR="00DD1F8A" w:rsidRDefault="00DD1F8A" w:rsidP="00DD1F8A">
      <w:pPr>
        <w:pStyle w:val="ListParagraph"/>
        <w:numPr>
          <w:ilvl w:val="0"/>
          <w:numId w:val="19"/>
        </w:numPr>
      </w:pPr>
      <w:r>
        <w:t xml:space="preserve">An east-to-west transect from the area south of </w:t>
      </w:r>
      <w:proofErr w:type="spellStart"/>
      <w:r>
        <w:t>Myton</w:t>
      </w:r>
      <w:proofErr w:type="spellEnd"/>
      <w:r>
        <w:t xml:space="preserve"> where oil production is dominant, through the </w:t>
      </w:r>
      <w:proofErr w:type="spellStart"/>
      <w:r>
        <w:t>Pariette</w:t>
      </w:r>
      <w:proofErr w:type="spellEnd"/>
      <w:r>
        <w:t xml:space="preserve">/Ouray area, and extending through central Uintah County where natural gas production is dominant. </w:t>
      </w:r>
      <w:r w:rsidRPr="00D90149">
        <w:rPr>
          <w:noProof/>
        </w:rPr>
        <w:t>This</w:t>
      </w:r>
      <w:r>
        <w:t xml:space="preserve"> will improve our understanding of the organic compound </w:t>
      </w:r>
      <w:r w:rsidRPr="00D90149">
        <w:rPr>
          <w:noProof/>
        </w:rPr>
        <w:t>composition</w:t>
      </w:r>
      <w:r>
        <w:t xml:space="preserve"> of the oil- versus gas-producing areas and how emissions from each area interact and impact photochemical ozone production in the low-elevation center of the basin (</w:t>
      </w:r>
      <w:proofErr w:type="spellStart"/>
      <w:r>
        <w:t>Pariette</w:t>
      </w:r>
      <w:proofErr w:type="spellEnd"/>
      <w:r>
        <w:t xml:space="preserve">/Ouray area). </w:t>
      </w:r>
    </w:p>
    <w:p w14:paraId="11C6DEC8" w14:textId="77777777" w:rsidR="00DD1F8A" w:rsidRDefault="00DD1F8A" w:rsidP="00DD1F8A">
      <w:pPr>
        <w:pStyle w:val="ListParagraph"/>
        <w:numPr>
          <w:ilvl w:val="0"/>
          <w:numId w:val="19"/>
        </w:numPr>
      </w:pPr>
      <w:r>
        <w:t>A grid configuration for comparison against gridded photochemical model outputs (possibly)</w:t>
      </w:r>
    </w:p>
    <w:p w14:paraId="155D4AA4" w14:textId="2F6EF593" w:rsidR="00DD1F8A" w:rsidRDefault="00DD1F8A" w:rsidP="00DD1F8A">
      <w:r>
        <w:t xml:space="preserve">Funding constraints limit the number of deployments possible during winter 2018-19, but these deployments will provide preliminary data on which we can build for the proposed winter 2019-20 </w:t>
      </w:r>
      <w:r>
        <w:lastRenderedPageBreak/>
        <w:t xml:space="preserve">measurements.  We propose </w:t>
      </w:r>
      <w:r w:rsidR="00307107">
        <w:t>20</w:t>
      </w:r>
      <w:r w:rsidR="005310D3">
        <w:t xml:space="preserve"> </w:t>
      </w:r>
      <w:r>
        <w:t xml:space="preserve">deployments of </w:t>
      </w:r>
      <w:r w:rsidR="005310D3">
        <w:t xml:space="preserve">17 </w:t>
      </w:r>
      <w:r>
        <w:t>sampling stations for winter 2019-20.  Deployment configurations for winter 2019-20 will depend on the results of the winter 2018-19 deployments.</w:t>
      </w:r>
    </w:p>
    <w:p w14:paraId="370540F5" w14:textId="77777777" w:rsidR="00DD1F8A" w:rsidRPr="00DB03CA" w:rsidRDefault="00DD1F8A" w:rsidP="00DD1F8A">
      <w:pPr>
        <w:rPr>
          <w:b/>
        </w:rPr>
      </w:pPr>
      <w:r>
        <w:rPr>
          <w:b/>
        </w:rPr>
        <w:t xml:space="preserve">Task </w:t>
      </w:r>
      <w:r w:rsidRPr="00DB03CA">
        <w:rPr>
          <w:b/>
        </w:rPr>
        <w:t>1.3</w:t>
      </w:r>
      <w:r>
        <w:rPr>
          <w:b/>
        </w:rPr>
        <w:t>:</w:t>
      </w:r>
      <w:r w:rsidRPr="00DB03CA">
        <w:rPr>
          <w:b/>
        </w:rPr>
        <w:t xml:space="preserve"> Permanent Measurement Stations</w:t>
      </w:r>
    </w:p>
    <w:p w14:paraId="5F99C680" w14:textId="77777777" w:rsidR="00DD1F8A" w:rsidRDefault="00DD1F8A" w:rsidP="00DD1F8A">
      <w:r>
        <w:t xml:space="preserve">Measurements at permanent sampling stations will provide a </w:t>
      </w:r>
      <w:r w:rsidRPr="00D90149">
        <w:rPr>
          <w:noProof/>
        </w:rPr>
        <w:t>more</w:t>
      </w:r>
      <w:r>
        <w:t xml:space="preserve"> complete time series of organic compound concentrations </w:t>
      </w:r>
      <w:r w:rsidRPr="00D90149">
        <w:rPr>
          <w:noProof/>
        </w:rPr>
        <w:t>than</w:t>
      </w:r>
      <w:r>
        <w:t xml:space="preserve"> will be possible with the portable stations, and a longer time series is necessary for developing emission signatures via Positive Matrix Factorization (PMF), as described below.  Our research team operates </w:t>
      </w:r>
      <w:r w:rsidRPr="00D90149">
        <w:rPr>
          <w:noProof/>
        </w:rPr>
        <w:t>several air</w:t>
      </w:r>
      <w:r>
        <w:t xml:space="preserve"> quality monitoring stations around the Uinta Basin each winter.  Among these, our </w:t>
      </w:r>
      <w:proofErr w:type="spellStart"/>
      <w:r>
        <w:t>Horsepool</w:t>
      </w:r>
      <w:proofErr w:type="spellEnd"/>
      <w:r>
        <w:t xml:space="preserve">, Castle Peak, and Roosevelt stations are relevant to the proposed work.  </w:t>
      </w:r>
      <w:proofErr w:type="spellStart"/>
      <w:r>
        <w:t>Horsepool</w:t>
      </w:r>
      <w:proofErr w:type="spellEnd"/>
      <w:r>
        <w:t xml:space="preserve"> sits at the north edge of an area of dense gas production in Uintah County, Castle Peak sits in an area of dense oil production in Duchesne County, and Roosevelt is within Roosevelt City. Meteorological parameters, ozone, and UV converter-based NO</w:t>
      </w:r>
      <w:r>
        <w:rPr>
          <w:vertAlign w:val="subscript"/>
        </w:rPr>
        <w:t>x</w:t>
      </w:r>
      <w:r>
        <w:t xml:space="preserve"> </w:t>
      </w:r>
      <w:r w:rsidRPr="00D90149">
        <w:rPr>
          <w:noProof/>
        </w:rPr>
        <w:t>are measured</w:t>
      </w:r>
      <w:r>
        <w:t xml:space="preserve"> at all three stations (Utah DAQ measures meteorology, ozone, and molybdenum converter-based NO</w:t>
      </w:r>
      <w:r>
        <w:rPr>
          <w:vertAlign w:val="subscript"/>
        </w:rPr>
        <w:t>x</w:t>
      </w:r>
      <w:r>
        <w:t xml:space="preserve"> at Roosevelt).  PM</w:t>
      </w:r>
      <w:r>
        <w:rPr>
          <w:vertAlign w:val="subscript"/>
        </w:rPr>
        <w:t>2.5</w:t>
      </w:r>
      <w:r>
        <w:t xml:space="preserve">, </w:t>
      </w:r>
      <w:proofErr w:type="spellStart"/>
      <w:r>
        <w:t>NO</w:t>
      </w:r>
      <w:r>
        <w:rPr>
          <w:vertAlign w:val="subscript"/>
        </w:rPr>
        <w:t>y</w:t>
      </w:r>
      <w:proofErr w:type="spellEnd"/>
      <w:r>
        <w:t xml:space="preserve">, methane, and total non-methane hydrocarbons </w:t>
      </w:r>
      <w:r w:rsidRPr="00D90149">
        <w:rPr>
          <w:noProof/>
        </w:rPr>
        <w:t>are also measured</w:t>
      </w:r>
      <w:r>
        <w:t xml:space="preserve"> at Roosevelt and </w:t>
      </w:r>
      <w:proofErr w:type="spellStart"/>
      <w:r>
        <w:t>Horsepool</w:t>
      </w:r>
      <w:proofErr w:type="spellEnd"/>
      <w:r>
        <w:t xml:space="preserve">, and daily air samples are collected in evacuated canisters (which </w:t>
      </w:r>
      <w:r w:rsidRPr="00D90149">
        <w:rPr>
          <w:noProof/>
        </w:rPr>
        <w:t>are analyzed</w:t>
      </w:r>
      <w:r>
        <w:t xml:space="preserve"> in our laboratory for hydrocarbons and light alcohols) at these sites as well.  </w:t>
      </w:r>
    </w:p>
    <w:p w14:paraId="296111FD" w14:textId="77777777" w:rsidR="00DD1F8A" w:rsidRDefault="00DD1F8A" w:rsidP="00DD1F8A">
      <w:r>
        <w:t xml:space="preserve">We collect canister samples at these sites via a custom eight-canister system that automatically pre-flushes the sample lines, switches among cans, and regulates sample flow.  We have used these systems for the past three winters, and we have shown that they do not result in contamination or loss of target compounds.  Organic compounds have not </w:t>
      </w:r>
      <w:r w:rsidRPr="00D90149">
        <w:rPr>
          <w:noProof/>
        </w:rPr>
        <w:t>been measured</w:t>
      </w:r>
      <w:r>
        <w:t xml:space="preserve"> at Castle Peak in the past, but with oil production in the basin increasing, particularly in the Castle Peak area, we feel that organic compound measurements at Castle Peak will be valuable in helping us understand emissions magnitude and speciation in that area.  Thus, we propose to build and install a canister sampling system at Castle Peak.  </w:t>
      </w:r>
    </w:p>
    <w:p w14:paraId="0BFBE98F" w14:textId="77777777" w:rsidR="00DD1F8A" w:rsidRDefault="00DD1F8A" w:rsidP="00DD1F8A">
      <w:r>
        <w:t xml:space="preserve">We currently do not routinely measure concentrations of carbonyls at any of our monitoring sites.  We propose to build DNPH cartridge sampling systems at the </w:t>
      </w:r>
      <w:proofErr w:type="spellStart"/>
      <w:r>
        <w:t>Horsepool</w:t>
      </w:r>
      <w:proofErr w:type="spellEnd"/>
      <w:r>
        <w:t xml:space="preserve"> and Castle Peak stations and to collect daily cartridge samples at both sites.  The systems will include valves and </w:t>
      </w:r>
      <w:r w:rsidRPr="00D90149">
        <w:rPr>
          <w:noProof/>
        </w:rPr>
        <w:t>a relay</w:t>
      </w:r>
      <w:r>
        <w:t xml:space="preserve"> board to select one cartridge at a time (among eight cartridges), a pump to pull air through the cartridges, a mass flow controller to control and record sample flow, and a microcomputer to provide control and data logging.  </w:t>
      </w:r>
    </w:p>
    <w:p w14:paraId="5A3BD3D6" w14:textId="77777777" w:rsidR="00DD1F8A" w:rsidRDefault="00DD1F8A" w:rsidP="00DD1F8A">
      <w:r>
        <w:t xml:space="preserve">Because sampling and analyzing canister and DNPH cartridge samples </w:t>
      </w:r>
      <w:r w:rsidRPr="00D90149">
        <w:rPr>
          <w:noProof/>
        </w:rPr>
        <w:t>is</w:t>
      </w:r>
      <w:r w:rsidRPr="00D90149">
        <w:t xml:space="preserve"> e</w:t>
      </w:r>
      <w:r>
        <w:t xml:space="preserve">xpensive, collections at </w:t>
      </w:r>
      <w:r w:rsidRPr="003F061F">
        <w:t>permanent monitoring stations for this work will be limited to a 4-6 week intensive campaign.</w:t>
      </w:r>
    </w:p>
    <w:p w14:paraId="443A9E1F" w14:textId="77777777" w:rsidR="00DD1F8A" w:rsidRPr="00C429F1" w:rsidRDefault="00DD1F8A" w:rsidP="00DD1F8A">
      <w:pPr>
        <w:rPr>
          <w:b/>
        </w:rPr>
      </w:pPr>
      <w:r>
        <w:rPr>
          <w:b/>
        </w:rPr>
        <w:t xml:space="preserve">Task </w:t>
      </w:r>
      <w:r w:rsidRPr="00C429F1">
        <w:rPr>
          <w:b/>
        </w:rPr>
        <w:t>1.4</w:t>
      </w:r>
      <w:r>
        <w:rPr>
          <w:b/>
        </w:rPr>
        <w:t>:</w:t>
      </w:r>
      <w:r w:rsidRPr="00C429F1">
        <w:rPr>
          <w:b/>
        </w:rPr>
        <w:t xml:space="preserve"> Low-cost </w:t>
      </w:r>
      <w:r>
        <w:rPr>
          <w:b/>
        </w:rPr>
        <w:t>S</w:t>
      </w:r>
      <w:r w:rsidRPr="00C429F1">
        <w:rPr>
          <w:b/>
        </w:rPr>
        <w:t>ensors for Methane and Total Organic Compounds</w:t>
      </w:r>
    </w:p>
    <w:p w14:paraId="17D0DBE3" w14:textId="77777777" w:rsidR="00DD1F8A" w:rsidRDefault="00DD1F8A" w:rsidP="00DD1F8A">
      <w:r w:rsidRPr="00DB03CA">
        <w:rPr>
          <w:rFonts w:ascii="Calibri" w:hAnsi="Calibri" w:cs="Calibri"/>
        </w:rPr>
        <w:t>Also, to</w:t>
      </w:r>
      <w:r w:rsidRPr="00DB03CA">
        <w:t xml:space="preserve"> supplement the traditional monitoring taking place at the</w:t>
      </w:r>
      <w:r>
        <w:t xml:space="preserve"> portable and permanent</w:t>
      </w:r>
      <w:r w:rsidRPr="00DB03CA">
        <w:t xml:space="preserve"> stations, we propose to equip each station with low-cost sensors for measuring methane and total organic compound (TOC) concentrations. </w:t>
      </w:r>
      <w:r>
        <w:t xml:space="preserve">Low-cost sensor measurements will be conducted by BRC staff and Eastern Research Group (ERG) personnel as a sub-contractor of BRC under this proposed project. </w:t>
      </w:r>
    </w:p>
    <w:p w14:paraId="42905806" w14:textId="77777777" w:rsidR="00DD1F8A" w:rsidRPr="00DB03CA" w:rsidRDefault="00DD1F8A" w:rsidP="00DD1F8A">
      <w:r>
        <w:t>C</w:t>
      </w:r>
      <w:r w:rsidRPr="00DB03CA">
        <w:t>omparisons between the collocated station and sensor data will be useful in informing UDAQ o</w:t>
      </w:r>
      <w:r>
        <w:t>f</w:t>
      </w:r>
      <w:r w:rsidRPr="00DB03CA">
        <w:t xml:space="preserve"> the viability and feasibility of deploying low-cost technologies under the unique environmental conditions in the Uintah Basin.  </w:t>
      </w:r>
      <w:r>
        <w:t>Further, m</w:t>
      </w:r>
      <w:r w:rsidRPr="00DB03CA">
        <w:t>easurements from the low-cost sensors will also allow us to understand changes in concentrations of organics over a finer temporal scale</w:t>
      </w:r>
      <w:r>
        <w:t xml:space="preserve"> than is possible with the canister and DNPH cartridge-based measurements</w:t>
      </w:r>
      <w:r w:rsidRPr="00DB03CA">
        <w:t xml:space="preserve">, both during each six-hour sampling period and in between sampling periods.  </w:t>
      </w:r>
      <w:r>
        <w:t>Also, t</w:t>
      </w:r>
      <w:r w:rsidRPr="00DB03CA">
        <w:t xml:space="preserve">hese measurements will also allow us to measure the methane/organic </w:t>
      </w:r>
      <w:r w:rsidRPr="00DB03CA">
        <w:lastRenderedPageBreak/>
        <w:t>compound ratio</w:t>
      </w:r>
      <w:r>
        <w:t xml:space="preserve"> throughout the Basin.  We will</w:t>
      </w:r>
      <w:r w:rsidRPr="00DB03CA">
        <w:t xml:space="preserve"> use with</w:t>
      </w:r>
      <w:r>
        <w:t xml:space="preserve"> this ratio in</w:t>
      </w:r>
      <w:r w:rsidRPr="00DB03CA">
        <w:t xml:space="preserve"> receptor model analysis (see below)</w:t>
      </w:r>
      <w:r>
        <w:t>, and we will apply this ratio to the top-down EI developed by</w:t>
      </w:r>
      <w:r w:rsidRPr="00DB03CA">
        <w:t xml:space="preserve"> Foster et al. (2018) to </w:t>
      </w:r>
      <w:r>
        <w:t xml:space="preserve">develop a top-down </w:t>
      </w:r>
      <w:proofErr w:type="spellStart"/>
      <w:r>
        <w:t>speciated</w:t>
      </w:r>
      <w:proofErr w:type="spellEnd"/>
      <w:r>
        <w:t xml:space="preserve"> organic compound</w:t>
      </w:r>
      <w:r w:rsidRPr="00DB03CA">
        <w:t xml:space="preserve"> emission inventory</w:t>
      </w:r>
      <w:r>
        <w:t>.  We will compare this top-down inventory</w:t>
      </w:r>
      <w:r w:rsidRPr="00DB03CA">
        <w:t xml:space="preserve"> against existing inventories</w:t>
      </w:r>
      <w:r>
        <w:t xml:space="preserve"> in our photochemical model</w:t>
      </w:r>
      <w:r w:rsidRPr="00DB03CA">
        <w:t xml:space="preserve">.  </w:t>
      </w:r>
    </w:p>
    <w:p w14:paraId="368DBFBD" w14:textId="77777777" w:rsidR="00DD1F8A" w:rsidRPr="00DB03CA" w:rsidRDefault="00DD1F8A" w:rsidP="00DD1F8A">
      <w:r w:rsidRPr="00D90149">
        <w:rPr>
          <w:noProof/>
        </w:rPr>
        <w:t>Prior to</w:t>
      </w:r>
      <w:r w:rsidRPr="00DB03CA">
        <w:t xml:space="preserve"> the study, we will perform a comprehensive literature search, interview manufacturers, and review information from South Coast’s Air Quality Sensor Performance Evaluation Center (AQ-SPEC) and EPA guidance documents to identify and rank methane and TOC sensors for consideration. After we have identified the top sensors, we will test the sensor operation using ERG’s custom-built exposure chamber at their Morrisville, NC laboratory facility. The exposure chamber allows us to verify the performance of the methane and TOC sensors under different temperature and relative humidity conditions. After we have verified the performance of the top methane and TOC sensors, we will purchase and deploy the sensors to the field measurement stations for additional testing.</w:t>
      </w:r>
    </w:p>
    <w:p w14:paraId="77017C2A" w14:textId="77777777" w:rsidR="00DD1F8A" w:rsidRPr="00DB03CA" w:rsidRDefault="00DD1F8A" w:rsidP="00DD1F8A">
      <w:r w:rsidRPr="00DB03CA">
        <w:t xml:space="preserve">At the beginning of winter (October 2019), we will correlate all the sampling stations with the low-cost sensors at our </w:t>
      </w:r>
      <w:proofErr w:type="spellStart"/>
      <w:r w:rsidRPr="00DB03CA">
        <w:t>Horsepool</w:t>
      </w:r>
      <w:proofErr w:type="spellEnd"/>
      <w:r w:rsidRPr="00DB03CA">
        <w:t xml:space="preserve"> monitoring station, where we measure methane and </w:t>
      </w:r>
      <w:proofErr w:type="spellStart"/>
      <w:r w:rsidRPr="00DB03CA">
        <w:t>speciated</w:t>
      </w:r>
      <w:proofErr w:type="spellEnd"/>
      <w:r w:rsidRPr="00DB03CA">
        <w:t xml:space="preserve"> non-methane organics via conventional methods.  After we have established confidence in the sensor data, we will, if needed, develop algorithms to correct the output from low-cost sensors against </w:t>
      </w:r>
      <w:proofErr w:type="spellStart"/>
      <w:r w:rsidRPr="00DB03CA">
        <w:t>Horsepool</w:t>
      </w:r>
      <w:proofErr w:type="spellEnd"/>
      <w:r w:rsidRPr="00DB03CA">
        <w:t xml:space="preserve"> station measurements.  Throughout the winter, we will leave one low-cost sensor set (methane and TOC) at the </w:t>
      </w:r>
      <w:proofErr w:type="spellStart"/>
      <w:r w:rsidRPr="00DB03CA">
        <w:t>Horsepool</w:t>
      </w:r>
      <w:proofErr w:type="spellEnd"/>
      <w:r w:rsidRPr="00DB03CA">
        <w:t xml:space="preserve"> station to determine the performance of the sensors over time.  At the end of the winter (March or April 2020), we will correlate all the stations to the </w:t>
      </w:r>
      <w:proofErr w:type="spellStart"/>
      <w:r w:rsidRPr="00DB03CA">
        <w:t>Horsepool</w:t>
      </w:r>
      <w:proofErr w:type="spellEnd"/>
      <w:r w:rsidRPr="00DB03CA">
        <w:t xml:space="preserve"> site again to assess sensor drift </w:t>
      </w:r>
      <w:r w:rsidRPr="00D90149">
        <w:rPr>
          <w:noProof/>
        </w:rPr>
        <w:t>over the course of</w:t>
      </w:r>
      <w:r w:rsidRPr="00DB03CA">
        <w:t xml:space="preserve"> the study.</w:t>
      </w:r>
    </w:p>
    <w:p w14:paraId="0F05548B" w14:textId="77777777" w:rsidR="00DD1F8A" w:rsidRDefault="00DD1F8A" w:rsidP="00DD1F8A">
      <w:r>
        <w:rPr>
          <w:b/>
        </w:rPr>
        <w:t xml:space="preserve">Task </w:t>
      </w:r>
      <w:r w:rsidRPr="00DB03CA">
        <w:rPr>
          <w:b/>
        </w:rPr>
        <w:t>1.</w:t>
      </w:r>
      <w:r>
        <w:rPr>
          <w:b/>
        </w:rPr>
        <w:t>5:</w:t>
      </w:r>
      <w:r w:rsidRPr="00DB03CA">
        <w:rPr>
          <w:b/>
        </w:rPr>
        <w:t xml:space="preserve"> Laboratory </w:t>
      </w:r>
      <w:r>
        <w:rPr>
          <w:b/>
        </w:rPr>
        <w:t>A</w:t>
      </w:r>
      <w:r w:rsidRPr="00DB03CA">
        <w:rPr>
          <w:b/>
        </w:rPr>
        <w:t>nalysis</w:t>
      </w:r>
    </w:p>
    <w:p w14:paraId="5A890095" w14:textId="77777777" w:rsidR="00DD1F8A" w:rsidRDefault="00DD1F8A" w:rsidP="00DD1F8A">
      <w:r>
        <w:t>After sample collection, we will analyze the DNPH cartridges and canisters in our laboratory for a suite of 13 carbonyl compounds, three alcohols, and 56 hydrocarbons.</w:t>
      </w:r>
    </w:p>
    <w:p w14:paraId="54E834C9" w14:textId="77777777" w:rsidR="00DD1F8A" w:rsidRDefault="00DD1F8A" w:rsidP="00DD1F8A">
      <w:r>
        <w:t xml:space="preserve">We will use an </w:t>
      </w:r>
      <w:proofErr w:type="spellStart"/>
      <w:r>
        <w:t>Entech</w:t>
      </w:r>
      <w:proofErr w:type="spellEnd"/>
      <w:r>
        <w:t xml:space="preserve"> 7200 </w:t>
      </w:r>
      <w:proofErr w:type="spellStart"/>
      <w:r>
        <w:t>preconcentrator</w:t>
      </w:r>
      <w:proofErr w:type="spellEnd"/>
      <w:r>
        <w:t xml:space="preserve"> and 7016D </w:t>
      </w:r>
      <w:proofErr w:type="spellStart"/>
      <w:r>
        <w:t>autosampler</w:t>
      </w:r>
      <w:proofErr w:type="spellEnd"/>
      <w:r>
        <w:t xml:space="preserve"> to concentrate canister samples and introduce them to a gas chromatograph (GC) system for analysis. The GC system consists of two Shimadzu GC-2010 </w:t>
      </w:r>
      <w:r w:rsidRPr="00D90149">
        <w:rPr>
          <w:noProof/>
        </w:rPr>
        <w:t>GCs</w:t>
      </w:r>
      <w:r>
        <w:t xml:space="preserve"> with a flame ionization detector (FID) and a Shimadzu QP2010 Mass Spectrometer (MS).  This method is a modification of EPA guidance for hydrocarbon analysis at Photochemical Assessment Monitoring Stations (EPA, 1998).  </w:t>
      </w:r>
    </w:p>
    <w:p w14:paraId="6B3DE8FF" w14:textId="77777777" w:rsidR="00DD1F8A" w:rsidRDefault="00DD1F8A" w:rsidP="00DD1F8A">
      <w:r>
        <w:t xml:space="preserve">We will analyze DNPH sorbent cartridges following Uchiyama et al. (2009), which is similar to EPA Method TO-11A (EPA, 1999).  To prepare samples for analysis, we will flush cartridges with a 5 mL solution of 75% acetonitrile and 25% dimethyl sulfoxide to release DNPH-carbonyls into solution.  We will then analyze the solution via </w:t>
      </w:r>
      <w:r w:rsidRPr="00D90149">
        <w:rPr>
          <w:noProof/>
        </w:rPr>
        <w:t>HighPerformance</w:t>
      </w:r>
      <w:r>
        <w:t xml:space="preserve"> Liquid Chromatography (HPLC) with a diode array detector.  </w:t>
      </w:r>
    </w:p>
    <w:p w14:paraId="412060A5" w14:textId="77777777" w:rsidR="00DD1F8A" w:rsidRDefault="00DD1F8A" w:rsidP="00DD1F8A">
      <w:r>
        <w:t xml:space="preserve">For both detection methods, we will calibrate the instrument on each analysis day with a five-point calibration curve and run an additional standard at the beginning and end of each analysis batch to check for signal drift or other errors.  Each analytical batch will include a duplicate sample.  We will analyze laboratory blanks during each laboratory analysis period and regularly collect and analyze field blanks.  Field blanks will be taken to the field and installed just like normal samples, but sample air will not pass into them.  For canister field blanks, we will pressurize the samples with ultrapure nitrogen </w:t>
      </w:r>
      <w:r w:rsidRPr="00D90149">
        <w:rPr>
          <w:noProof/>
        </w:rPr>
        <w:t>prior to</w:t>
      </w:r>
      <w:r>
        <w:t xml:space="preserve"> sampling.</w:t>
      </w:r>
    </w:p>
    <w:p w14:paraId="122863E6" w14:textId="77777777" w:rsidR="00DD1F8A" w:rsidRDefault="00DD1F8A" w:rsidP="00DD1F8A">
      <w:pPr>
        <w:pStyle w:val="xmsonormal"/>
        <w:shd w:val="clear" w:color="auto" w:fill="FFFFFF"/>
        <w:spacing w:before="0" w:beforeAutospacing="0" w:after="0" w:afterAutospacing="0"/>
        <w:rPr>
          <w:rFonts w:ascii="Calibri" w:hAnsi="Calibri" w:cs="Calibri"/>
          <w:color w:val="212121"/>
          <w:sz w:val="22"/>
          <w:szCs w:val="22"/>
        </w:rPr>
      </w:pPr>
    </w:p>
    <w:p w14:paraId="328D2CBF" w14:textId="77777777" w:rsidR="00DD1F8A" w:rsidRPr="00DB03CA" w:rsidRDefault="00DD1F8A" w:rsidP="00DD1F8A">
      <w:pPr>
        <w:pStyle w:val="xmsonormal"/>
        <w:shd w:val="clear" w:color="auto" w:fill="FFFFFF"/>
        <w:spacing w:before="0" w:beforeAutospacing="0" w:after="0" w:afterAutospacing="0"/>
        <w:rPr>
          <w:rFonts w:ascii="Calibri" w:hAnsi="Calibri" w:cs="Calibri"/>
          <w:b/>
          <w:sz w:val="22"/>
          <w:szCs w:val="22"/>
        </w:rPr>
      </w:pPr>
      <w:r>
        <w:rPr>
          <w:rFonts w:ascii="Calibri" w:hAnsi="Calibri" w:cs="Calibri"/>
          <w:b/>
          <w:sz w:val="22"/>
          <w:szCs w:val="22"/>
        </w:rPr>
        <w:t xml:space="preserve">Task 2: </w:t>
      </w:r>
      <w:r w:rsidRPr="00DB03CA">
        <w:rPr>
          <w:rFonts w:ascii="Calibri" w:hAnsi="Calibri" w:cs="Calibri"/>
          <w:b/>
          <w:sz w:val="22"/>
          <w:szCs w:val="22"/>
        </w:rPr>
        <w:t xml:space="preserve">Receptor </w:t>
      </w:r>
      <w:r>
        <w:rPr>
          <w:rFonts w:ascii="Calibri" w:hAnsi="Calibri" w:cs="Calibri"/>
          <w:b/>
          <w:sz w:val="22"/>
          <w:szCs w:val="22"/>
        </w:rPr>
        <w:t>M</w:t>
      </w:r>
      <w:r w:rsidRPr="00DB03CA">
        <w:rPr>
          <w:rFonts w:ascii="Calibri" w:hAnsi="Calibri" w:cs="Calibri"/>
          <w:b/>
          <w:sz w:val="22"/>
          <w:szCs w:val="22"/>
        </w:rPr>
        <w:t xml:space="preserve">odel </w:t>
      </w:r>
      <w:r>
        <w:rPr>
          <w:rFonts w:ascii="Calibri" w:hAnsi="Calibri" w:cs="Calibri"/>
          <w:b/>
          <w:sz w:val="22"/>
          <w:szCs w:val="22"/>
        </w:rPr>
        <w:t>A</w:t>
      </w:r>
      <w:r w:rsidRPr="00DB03CA">
        <w:rPr>
          <w:rFonts w:ascii="Calibri" w:hAnsi="Calibri" w:cs="Calibri"/>
          <w:b/>
          <w:sz w:val="22"/>
          <w:szCs w:val="22"/>
        </w:rPr>
        <w:t>nalysis</w:t>
      </w:r>
    </w:p>
    <w:p w14:paraId="6CFA6C15" w14:textId="77777777" w:rsidR="00DD1F8A" w:rsidRPr="00DB03CA" w:rsidRDefault="00DD1F8A" w:rsidP="00DD1F8A">
      <w:pPr>
        <w:pStyle w:val="xmsonormal"/>
        <w:shd w:val="clear" w:color="auto" w:fill="FFFFFF"/>
        <w:spacing w:before="0" w:beforeAutospacing="0" w:after="0" w:afterAutospacing="0"/>
        <w:rPr>
          <w:rFonts w:ascii="Calibri" w:hAnsi="Calibri" w:cs="Calibri"/>
          <w:sz w:val="22"/>
          <w:szCs w:val="22"/>
        </w:rPr>
      </w:pPr>
    </w:p>
    <w:p w14:paraId="5E115385" w14:textId="77777777" w:rsidR="00DD1F8A" w:rsidRPr="00DB03CA" w:rsidRDefault="00DD1F8A" w:rsidP="00DD1F8A">
      <w:pPr>
        <w:pStyle w:val="xmsonormal"/>
        <w:shd w:val="clear" w:color="auto" w:fill="FFFFFF"/>
        <w:spacing w:before="0" w:beforeAutospacing="0" w:after="0" w:afterAutospacing="0"/>
        <w:rPr>
          <w:rFonts w:ascii="Calibri" w:hAnsi="Calibri" w:cs="Calibri"/>
          <w:sz w:val="22"/>
          <w:szCs w:val="22"/>
        </w:rPr>
      </w:pPr>
      <w:r w:rsidRPr="00DB03CA">
        <w:rPr>
          <w:rFonts w:ascii="Calibri" w:hAnsi="Calibri" w:cs="Calibri"/>
          <w:sz w:val="22"/>
          <w:szCs w:val="22"/>
        </w:rPr>
        <w:t>Knowledge o</w:t>
      </w:r>
      <w:r>
        <w:rPr>
          <w:rFonts w:ascii="Calibri" w:hAnsi="Calibri" w:cs="Calibri"/>
          <w:sz w:val="22"/>
          <w:szCs w:val="22"/>
        </w:rPr>
        <w:t>f</w:t>
      </w:r>
      <w:r w:rsidRPr="00DB03CA">
        <w:rPr>
          <w:rFonts w:ascii="Calibri" w:hAnsi="Calibri" w:cs="Calibri"/>
          <w:sz w:val="22"/>
          <w:szCs w:val="22"/>
        </w:rPr>
        <w:t xml:space="preserve"> organic compound compositions </w:t>
      </w:r>
      <w:r>
        <w:rPr>
          <w:rFonts w:ascii="Calibri" w:hAnsi="Calibri" w:cs="Calibri"/>
          <w:sz w:val="22"/>
          <w:szCs w:val="22"/>
        </w:rPr>
        <w:t xml:space="preserve">of emissions </w:t>
      </w:r>
      <w:r w:rsidRPr="00D90149">
        <w:rPr>
          <w:rFonts w:ascii="Calibri" w:hAnsi="Calibri" w:cs="Calibri"/>
          <w:noProof/>
          <w:sz w:val="22"/>
          <w:szCs w:val="22"/>
        </w:rPr>
        <w:t>is commonly used</w:t>
      </w:r>
      <w:r w:rsidRPr="00DB03CA">
        <w:rPr>
          <w:rFonts w:ascii="Calibri" w:hAnsi="Calibri" w:cs="Calibri"/>
          <w:sz w:val="22"/>
          <w:szCs w:val="22"/>
        </w:rPr>
        <w:t xml:space="preserve"> for studying</w:t>
      </w:r>
      <w:r>
        <w:rPr>
          <w:rFonts w:ascii="Calibri" w:hAnsi="Calibri" w:cs="Calibri"/>
          <w:sz w:val="22"/>
          <w:szCs w:val="22"/>
        </w:rPr>
        <w:t xml:space="preserve"> the</w:t>
      </w:r>
      <w:r w:rsidRPr="00DB03CA">
        <w:rPr>
          <w:rFonts w:ascii="Calibri" w:hAnsi="Calibri" w:cs="Calibri"/>
          <w:sz w:val="22"/>
          <w:szCs w:val="22"/>
        </w:rPr>
        <w:t xml:space="preserve"> origins and characteristic</w:t>
      </w:r>
      <w:r>
        <w:rPr>
          <w:rFonts w:ascii="Calibri" w:hAnsi="Calibri" w:cs="Calibri"/>
          <w:sz w:val="22"/>
          <w:szCs w:val="22"/>
        </w:rPr>
        <w:t>s</w:t>
      </w:r>
      <w:r w:rsidRPr="00DB03CA">
        <w:rPr>
          <w:rFonts w:ascii="Calibri" w:hAnsi="Calibri" w:cs="Calibri"/>
          <w:sz w:val="22"/>
          <w:szCs w:val="22"/>
        </w:rPr>
        <w:t xml:space="preserve"> of collected total organic compound</w:t>
      </w:r>
      <w:r>
        <w:rPr>
          <w:rFonts w:ascii="Calibri" w:hAnsi="Calibri" w:cs="Calibri"/>
          <w:sz w:val="22"/>
          <w:szCs w:val="22"/>
        </w:rPr>
        <w:t xml:space="preserve"> samples</w:t>
      </w:r>
      <w:r w:rsidRPr="00DB03CA">
        <w:rPr>
          <w:rFonts w:ascii="Calibri" w:hAnsi="Calibri" w:cs="Calibri"/>
          <w:sz w:val="22"/>
          <w:szCs w:val="22"/>
        </w:rPr>
        <w:t xml:space="preserve"> (Gilman et al., 2013; </w:t>
      </w:r>
      <w:proofErr w:type="spellStart"/>
      <w:r w:rsidRPr="00DB03CA">
        <w:rPr>
          <w:rFonts w:ascii="Calibri" w:hAnsi="Calibri" w:cs="Calibri"/>
          <w:sz w:val="22"/>
          <w:szCs w:val="22"/>
        </w:rPr>
        <w:t>Swarthout</w:t>
      </w:r>
      <w:proofErr w:type="spellEnd"/>
      <w:r w:rsidRPr="00DB03CA">
        <w:rPr>
          <w:rFonts w:ascii="Calibri" w:hAnsi="Calibri" w:cs="Calibri"/>
          <w:sz w:val="22"/>
          <w:szCs w:val="22"/>
        </w:rPr>
        <w:t xml:space="preserve"> et al., 2013; </w:t>
      </w:r>
      <w:proofErr w:type="spellStart"/>
      <w:r w:rsidRPr="00DB03CA">
        <w:rPr>
          <w:rFonts w:ascii="Calibri" w:hAnsi="Calibri" w:cs="Calibri"/>
          <w:sz w:val="22"/>
          <w:szCs w:val="22"/>
        </w:rPr>
        <w:t>Abeleira</w:t>
      </w:r>
      <w:proofErr w:type="spellEnd"/>
      <w:r w:rsidRPr="00DB03CA">
        <w:rPr>
          <w:rFonts w:ascii="Calibri" w:hAnsi="Calibri" w:cs="Calibri"/>
          <w:sz w:val="22"/>
          <w:szCs w:val="22"/>
        </w:rPr>
        <w:t xml:space="preserve"> et al., 2017; Zheng et al., 2018). </w:t>
      </w:r>
      <w:r>
        <w:rPr>
          <w:rFonts w:ascii="Calibri" w:hAnsi="Calibri" w:cs="Calibri"/>
          <w:sz w:val="22"/>
          <w:szCs w:val="22"/>
        </w:rPr>
        <w:t>For example, b</w:t>
      </w:r>
      <w:r w:rsidRPr="00DB03CA">
        <w:rPr>
          <w:rFonts w:ascii="Calibri" w:hAnsi="Calibri" w:cs="Calibri"/>
          <w:sz w:val="22"/>
          <w:szCs w:val="22"/>
        </w:rPr>
        <w:t>ased on wind direction and back trajectory HYSPLIT (https://www.ready.noaa.gov/HYSPLIT.php) model analyses for organic compounds collected from sets of evacuated canister</w:t>
      </w:r>
      <w:r>
        <w:rPr>
          <w:rFonts w:ascii="Calibri" w:hAnsi="Calibri" w:cs="Calibri"/>
          <w:sz w:val="22"/>
          <w:szCs w:val="22"/>
        </w:rPr>
        <w:t>s</w:t>
      </w:r>
      <w:r w:rsidRPr="00DB03CA">
        <w:rPr>
          <w:rFonts w:ascii="Calibri" w:hAnsi="Calibri" w:cs="Calibri"/>
          <w:sz w:val="22"/>
          <w:szCs w:val="22"/>
        </w:rPr>
        <w:t xml:space="preserve"> deployed at the Boulder Atmospheric Observatory (BAO) 300 m tower, </w:t>
      </w:r>
      <w:proofErr w:type="spellStart"/>
      <w:r w:rsidRPr="00DB03CA">
        <w:rPr>
          <w:rFonts w:ascii="Calibri" w:hAnsi="Calibri" w:cs="Calibri"/>
          <w:sz w:val="22"/>
          <w:szCs w:val="22"/>
        </w:rPr>
        <w:t>Swarthout</w:t>
      </w:r>
      <w:proofErr w:type="spellEnd"/>
      <w:r w:rsidRPr="00DB03CA">
        <w:rPr>
          <w:rFonts w:ascii="Calibri" w:hAnsi="Calibri" w:cs="Calibri"/>
          <w:sz w:val="22"/>
          <w:szCs w:val="22"/>
        </w:rPr>
        <w:t xml:space="preserve"> et al. (2013) reported that C2-C5 alk</w:t>
      </w:r>
      <w:r>
        <w:rPr>
          <w:rFonts w:ascii="Calibri" w:hAnsi="Calibri" w:cs="Calibri"/>
          <w:sz w:val="22"/>
          <w:szCs w:val="22"/>
        </w:rPr>
        <w:t>a</w:t>
      </w:r>
      <w:r w:rsidRPr="00DB03CA">
        <w:rPr>
          <w:rFonts w:ascii="Calibri" w:hAnsi="Calibri" w:cs="Calibri"/>
          <w:sz w:val="22"/>
          <w:szCs w:val="22"/>
        </w:rPr>
        <w:t>nes mostly came from the Wattenberg Field natural gas production region. In a similar study but using</w:t>
      </w:r>
      <w:r>
        <w:rPr>
          <w:rFonts w:ascii="Calibri" w:hAnsi="Calibri" w:cs="Calibri"/>
          <w:sz w:val="22"/>
          <w:szCs w:val="22"/>
        </w:rPr>
        <w:t xml:space="preserve"> a</w:t>
      </w:r>
      <w:r w:rsidRPr="00DB03CA">
        <w:rPr>
          <w:rFonts w:ascii="Calibri" w:hAnsi="Calibri" w:cs="Calibri"/>
          <w:sz w:val="22"/>
          <w:szCs w:val="22"/>
        </w:rPr>
        <w:t xml:space="preserve"> gas chromatograph-mass spectrometer (GC-MS) technique for organic compound measurements, Gilman et al. (2013) attribute</w:t>
      </w:r>
      <w:r>
        <w:rPr>
          <w:rFonts w:ascii="Calibri" w:hAnsi="Calibri" w:cs="Calibri"/>
          <w:sz w:val="22"/>
          <w:szCs w:val="22"/>
        </w:rPr>
        <w:t>d</w:t>
      </w:r>
      <w:r w:rsidRPr="00DB03CA">
        <w:rPr>
          <w:rFonts w:ascii="Calibri" w:hAnsi="Calibri" w:cs="Calibri"/>
          <w:sz w:val="22"/>
          <w:szCs w:val="22"/>
        </w:rPr>
        <w:t xml:space="preserve"> the majority of measured C2-C6 alk</w:t>
      </w:r>
      <w:r>
        <w:rPr>
          <w:rFonts w:ascii="Calibri" w:hAnsi="Calibri" w:cs="Calibri"/>
          <w:sz w:val="22"/>
          <w:szCs w:val="22"/>
        </w:rPr>
        <w:t>a</w:t>
      </w:r>
      <w:r w:rsidRPr="00DB03CA">
        <w:rPr>
          <w:rFonts w:ascii="Calibri" w:hAnsi="Calibri" w:cs="Calibri"/>
          <w:sz w:val="22"/>
          <w:szCs w:val="22"/>
        </w:rPr>
        <w:t>nes and approximately half of the calculated organic compound reactivity</w:t>
      </w:r>
      <w:r>
        <w:rPr>
          <w:rFonts w:ascii="Calibri" w:hAnsi="Calibri" w:cs="Calibri"/>
          <w:sz w:val="22"/>
          <w:szCs w:val="22"/>
        </w:rPr>
        <w:t xml:space="preserve"> in the same area</w:t>
      </w:r>
      <w:r w:rsidRPr="00DB03CA">
        <w:rPr>
          <w:rFonts w:ascii="Calibri" w:hAnsi="Calibri" w:cs="Calibri"/>
          <w:sz w:val="22"/>
          <w:szCs w:val="22"/>
        </w:rPr>
        <w:t xml:space="preserve"> to oil and gas production. </w:t>
      </w:r>
    </w:p>
    <w:p w14:paraId="59BDF2C0" w14:textId="77777777" w:rsidR="00DD1F8A" w:rsidRPr="00DB03CA" w:rsidRDefault="00DD1F8A" w:rsidP="00DD1F8A">
      <w:pPr>
        <w:pStyle w:val="xmsonormal"/>
        <w:shd w:val="clear" w:color="auto" w:fill="FFFFFF"/>
        <w:spacing w:before="0" w:beforeAutospacing="0" w:after="0" w:afterAutospacing="0"/>
        <w:rPr>
          <w:rFonts w:ascii="Calibri" w:hAnsi="Calibri" w:cs="Calibri"/>
          <w:sz w:val="22"/>
          <w:szCs w:val="22"/>
        </w:rPr>
      </w:pPr>
      <w:r w:rsidRPr="00DB03CA">
        <w:rPr>
          <w:rFonts w:ascii="Calibri" w:hAnsi="Calibri" w:cs="Calibri"/>
          <w:sz w:val="22"/>
          <w:szCs w:val="22"/>
        </w:rPr>
        <w:t xml:space="preserve"> </w:t>
      </w:r>
    </w:p>
    <w:p w14:paraId="67169CFE" w14:textId="77777777" w:rsidR="00DD1F8A" w:rsidRPr="00DB03CA" w:rsidRDefault="00DD1F8A" w:rsidP="00DD1F8A">
      <w:pPr>
        <w:pStyle w:val="xmsonormal"/>
        <w:shd w:val="clear" w:color="auto" w:fill="FFFFFF"/>
        <w:spacing w:before="0" w:beforeAutospacing="0" w:after="0" w:afterAutospacing="0"/>
        <w:rPr>
          <w:rFonts w:ascii="Calibri" w:hAnsi="Calibri" w:cs="Calibri"/>
          <w:sz w:val="22"/>
          <w:szCs w:val="22"/>
        </w:rPr>
      </w:pPr>
      <w:r w:rsidRPr="00DB03CA">
        <w:rPr>
          <w:rFonts w:ascii="Calibri" w:hAnsi="Calibri" w:cs="Calibri"/>
          <w:sz w:val="22"/>
          <w:szCs w:val="22"/>
        </w:rPr>
        <w:t>Receptor models, such as the Positive Matrix Factorization (PMF) model (EPA, 2014),</w:t>
      </w:r>
      <w:r>
        <w:rPr>
          <w:rFonts w:ascii="Calibri" w:hAnsi="Calibri" w:cs="Calibri"/>
          <w:sz w:val="22"/>
          <w:szCs w:val="22"/>
        </w:rPr>
        <w:t xml:space="preserve"> can add to and build upon trajectory and composition analyses and </w:t>
      </w:r>
      <w:r w:rsidRPr="00DB03CA">
        <w:rPr>
          <w:rFonts w:ascii="Calibri" w:hAnsi="Calibri" w:cs="Calibri"/>
          <w:sz w:val="22"/>
          <w:szCs w:val="22"/>
        </w:rPr>
        <w:t xml:space="preserve">have been widely used as </w:t>
      </w:r>
      <w:r>
        <w:rPr>
          <w:rFonts w:ascii="Calibri" w:hAnsi="Calibri" w:cs="Calibri"/>
          <w:sz w:val="22"/>
          <w:szCs w:val="22"/>
        </w:rPr>
        <w:t xml:space="preserve">a </w:t>
      </w:r>
      <w:r w:rsidRPr="00DB03CA">
        <w:rPr>
          <w:rFonts w:ascii="Calibri" w:hAnsi="Calibri" w:cs="Calibri"/>
          <w:sz w:val="22"/>
          <w:szCs w:val="22"/>
        </w:rPr>
        <w:t xml:space="preserve">source apportionment technique for aerosol (e.g., Song et al., 2006; </w:t>
      </w:r>
      <w:proofErr w:type="spellStart"/>
      <w:r w:rsidRPr="00DB03CA">
        <w:rPr>
          <w:rFonts w:ascii="Calibri" w:hAnsi="Calibri" w:cs="Calibri"/>
          <w:sz w:val="22"/>
          <w:szCs w:val="22"/>
        </w:rPr>
        <w:t>Lanz</w:t>
      </w:r>
      <w:proofErr w:type="spellEnd"/>
      <w:r w:rsidRPr="00DB03CA">
        <w:rPr>
          <w:rFonts w:ascii="Calibri" w:hAnsi="Calibri" w:cs="Calibri"/>
          <w:sz w:val="22"/>
          <w:szCs w:val="22"/>
        </w:rPr>
        <w:t xml:space="preserve"> et al., 2007; </w:t>
      </w:r>
      <w:proofErr w:type="spellStart"/>
      <w:r w:rsidRPr="00DB03CA">
        <w:rPr>
          <w:rFonts w:ascii="Calibri" w:hAnsi="Calibri" w:cs="Calibri"/>
          <w:sz w:val="22"/>
          <w:szCs w:val="22"/>
        </w:rPr>
        <w:t>Ulbrich</w:t>
      </w:r>
      <w:proofErr w:type="spellEnd"/>
      <w:r w:rsidRPr="00DB03CA">
        <w:rPr>
          <w:rFonts w:ascii="Calibri" w:hAnsi="Calibri" w:cs="Calibri"/>
          <w:sz w:val="22"/>
          <w:szCs w:val="22"/>
        </w:rPr>
        <w:t xml:space="preserve"> et al., 2009) and organic compounds (e.g., </w:t>
      </w:r>
      <w:proofErr w:type="spellStart"/>
      <w:r w:rsidRPr="00DB03CA">
        <w:rPr>
          <w:rFonts w:ascii="Calibri" w:hAnsi="Calibri" w:cs="Calibri"/>
          <w:sz w:val="22"/>
          <w:szCs w:val="22"/>
        </w:rPr>
        <w:t>Guha</w:t>
      </w:r>
      <w:proofErr w:type="spellEnd"/>
      <w:r w:rsidRPr="00DB03CA">
        <w:rPr>
          <w:rFonts w:ascii="Calibri" w:hAnsi="Calibri" w:cs="Calibri"/>
          <w:sz w:val="22"/>
          <w:szCs w:val="22"/>
        </w:rPr>
        <w:t xml:space="preserve"> et al., 2015; </w:t>
      </w:r>
      <w:proofErr w:type="spellStart"/>
      <w:r w:rsidRPr="00DB03CA">
        <w:rPr>
          <w:rFonts w:ascii="Calibri" w:hAnsi="Calibri" w:cs="Calibri"/>
          <w:sz w:val="22"/>
          <w:szCs w:val="22"/>
        </w:rPr>
        <w:t>Abeleira</w:t>
      </w:r>
      <w:proofErr w:type="spellEnd"/>
      <w:r w:rsidRPr="00DB03CA">
        <w:rPr>
          <w:rFonts w:ascii="Calibri" w:hAnsi="Calibri" w:cs="Calibri"/>
          <w:sz w:val="22"/>
          <w:szCs w:val="22"/>
        </w:rPr>
        <w:t xml:space="preserve"> et al., 2017; Zheng et al., 2018). </w:t>
      </w:r>
      <w:r>
        <w:rPr>
          <w:rFonts w:ascii="Calibri" w:hAnsi="Calibri" w:cs="Calibri"/>
          <w:sz w:val="22"/>
          <w:szCs w:val="22"/>
        </w:rPr>
        <w:t xml:space="preserve">These models use factor analysis and emissions composition information to identify sources that contributed to measured concentrations of atmospheric constituents.  </w:t>
      </w:r>
      <w:r w:rsidRPr="00DB03CA">
        <w:rPr>
          <w:rFonts w:ascii="Calibri" w:hAnsi="Calibri" w:cs="Calibri"/>
          <w:sz w:val="22"/>
          <w:szCs w:val="22"/>
        </w:rPr>
        <w:t xml:space="preserve">For example, </w:t>
      </w:r>
      <w:proofErr w:type="spellStart"/>
      <w:r w:rsidRPr="00DB03CA">
        <w:rPr>
          <w:rFonts w:ascii="Calibri" w:hAnsi="Calibri" w:cs="Calibri"/>
          <w:sz w:val="22"/>
          <w:szCs w:val="22"/>
        </w:rPr>
        <w:t>Abeleira</w:t>
      </w:r>
      <w:proofErr w:type="spellEnd"/>
      <w:r w:rsidRPr="00DB03CA">
        <w:rPr>
          <w:rFonts w:ascii="Calibri" w:hAnsi="Calibri" w:cs="Calibri"/>
          <w:sz w:val="22"/>
          <w:szCs w:val="22"/>
        </w:rPr>
        <w:t xml:space="preserve"> et al. (2017) reported that in spring and summer, organic compounds originat</w:t>
      </w:r>
      <w:r>
        <w:rPr>
          <w:rFonts w:ascii="Calibri" w:hAnsi="Calibri" w:cs="Calibri"/>
          <w:sz w:val="22"/>
          <w:szCs w:val="22"/>
        </w:rPr>
        <w:t>ing</w:t>
      </w:r>
      <w:r w:rsidRPr="00DB03CA">
        <w:rPr>
          <w:rFonts w:ascii="Calibri" w:hAnsi="Calibri" w:cs="Calibri"/>
          <w:sz w:val="22"/>
          <w:szCs w:val="22"/>
        </w:rPr>
        <w:t xml:space="preserve"> from oil and gas operations accounted for 40-60% of the calculated organic compound reactivity with hydroxyl radical in the morning, whereas organic compound reactivity from biogenic sources are dominant in the afternoon and evening in the Colorado Northern Front Range Metropolitan Area. PMF analyses</w:t>
      </w:r>
      <w:r>
        <w:rPr>
          <w:rFonts w:ascii="Calibri" w:hAnsi="Calibri" w:cs="Calibri"/>
          <w:sz w:val="22"/>
          <w:szCs w:val="22"/>
        </w:rPr>
        <w:t xml:space="preserve"> also</w:t>
      </w:r>
      <w:r w:rsidRPr="00DB03CA">
        <w:rPr>
          <w:rFonts w:ascii="Calibri" w:hAnsi="Calibri" w:cs="Calibri"/>
          <w:sz w:val="22"/>
          <w:szCs w:val="22"/>
        </w:rPr>
        <w:t xml:space="preserve"> suggested that oil and gas production in northwest China contributes approximately 63% to annual average organic compound</w:t>
      </w:r>
      <w:r>
        <w:rPr>
          <w:rFonts w:ascii="Calibri" w:hAnsi="Calibri" w:cs="Calibri"/>
          <w:sz w:val="22"/>
          <w:szCs w:val="22"/>
        </w:rPr>
        <w:t xml:space="preserve"> concentrations</w:t>
      </w:r>
      <w:r w:rsidRPr="00DB03CA">
        <w:rPr>
          <w:rFonts w:ascii="Calibri" w:hAnsi="Calibri" w:cs="Calibri"/>
          <w:sz w:val="22"/>
          <w:szCs w:val="22"/>
        </w:rPr>
        <w:t xml:space="preserve"> (Zheng et al., 2018).</w:t>
      </w:r>
    </w:p>
    <w:p w14:paraId="6991B608" w14:textId="77777777" w:rsidR="00DD1F8A" w:rsidRPr="00DB03CA" w:rsidRDefault="00DD1F8A" w:rsidP="00DD1F8A">
      <w:pPr>
        <w:pStyle w:val="xmsonormal"/>
        <w:shd w:val="clear" w:color="auto" w:fill="FFFFFF"/>
        <w:spacing w:before="0" w:beforeAutospacing="0" w:after="0" w:afterAutospacing="0"/>
        <w:rPr>
          <w:rFonts w:ascii="Calibri" w:hAnsi="Calibri" w:cs="Calibri"/>
          <w:sz w:val="22"/>
          <w:szCs w:val="22"/>
        </w:rPr>
      </w:pPr>
    </w:p>
    <w:p w14:paraId="1601311E" w14:textId="77777777" w:rsidR="00DD1F8A" w:rsidRPr="00DB03CA" w:rsidRDefault="00DD1F8A" w:rsidP="00DD1F8A">
      <w:pPr>
        <w:pStyle w:val="xmsonormal"/>
        <w:shd w:val="clear" w:color="auto" w:fill="FFFFFF"/>
        <w:spacing w:before="0" w:beforeAutospacing="0" w:after="0" w:afterAutospacing="0"/>
        <w:rPr>
          <w:rFonts w:ascii="Calibri" w:hAnsi="Calibri" w:cs="Calibri"/>
          <w:sz w:val="22"/>
          <w:szCs w:val="22"/>
        </w:rPr>
      </w:pPr>
      <w:r w:rsidRPr="00DB03CA">
        <w:rPr>
          <w:rFonts w:ascii="Calibri" w:hAnsi="Calibri" w:cs="Calibri"/>
          <w:sz w:val="22"/>
          <w:szCs w:val="22"/>
        </w:rPr>
        <w:t xml:space="preserve">In this study, we will perform the following analyses: </w:t>
      </w:r>
    </w:p>
    <w:p w14:paraId="46C60811" w14:textId="77777777" w:rsidR="00DD1F8A" w:rsidRPr="00DB03CA" w:rsidRDefault="00DD1F8A" w:rsidP="00DD1F8A">
      <w:pPr>
        <w:pStyle w:val="xmsonormal"/>
        <w:numPr>
          <w:ilvl w:val="0"/>
          <w:numId w:val="2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We will carry out a w</w:t>
      </w:r>
      <w:r w:rsidRPr="00DB03CA">
        <w:rPr>
          <w:rFonts w:ascii="Calibri" w:hAnsi="Calibri" w:cs="Calibri"/>
          <w:sz w:val="22"/>
          <w:szCs w:val="22"/>
        </w:rPr>
        <w:t xml:space="preserve">ind analysis (wind speeds and directions) based on wind measurements from mobile meteorological stations that </w:t>
      </w:r>
      <w:r w:rsidRPr="00D90149">
        <w:rPr>
          <w:rFonts w:ascii="Calibri" w:hAnsi="Calibri" w:cs="Calibri"/>
          <w:noProof/>
          <w:sz w:val="22"/>
          <w:szCs w:val="22"/>
        </w:rPr>
        <w:t>are collocated</w:t>
      </w:r>
      <w:r w:rsidRPr="00DB03CA">
        <w:rPr>
          <w:rFonts w:ascii="Calibri" w:hAnsi="Calibri" w:cs="Calibri"/>
          <w:sz w:val="22"/>
          <w:szCs w:val="22"/>
        </w:rPr>
        <w:t xml:space="preserve"> with the canisters, and in combination with wind measurement</w:t>
      </w:r>
      <w:r>
        <w:rPr>
          <w:rFonts w:ascii="Calibri" w:hAnsi="Calibri" w:cs="Calibri"/>
          <w:sz w:val="22"/>
          <w:szCs w:val="22"/>
        </w:rPr>
        <w:t>s</w:t>
      </w:r>
      <w:r w:rsidRPr="00DB03CA">
        <w:rPr>
          <w:rFonts w:ascii="Calibri" w:hAnsi="Calibri" w:cs="Calibri"/>
          <w:sz w:val="22"/>
          <w:szCs w:val="22"/>
        </w:rPr>
        <w:t xml:space="preserve"> from other stationary meteorological stations where applicable. Base</w:t>
      </w:r>
      <w:r>
        <w:rPr>
          <w:rFonts w:ascii="Calibri" w:hAnsi="Calibri" w:cs="Calibri"/>
          <w:sz w:val="22"/>
          <w:szCs w:val="22"/>
        </w:rPr>
        <w:t>d</w:t>
      </w:r>
      <w:r w:rsidRPr="00DB03CA">
        <w:rPr>
          <w:rFonts w:ascii="Calibri" w:hAnsi="Calibri" w:cs="Calibri"/>
          <w:sz w:val="22"/>
          <w:szCs w:val="22"/>
        </w:rPr>
        <w:t xml:space="preserve"> on this wind analysis, we will identify potential contributing sources within the immediate vicinity of canisters. </w:t>
      </w:r>
    </w:p>
    <w:p w14:paraId="3630488C" w14:textId="4A9E1465" w:rsidR="00DD1F8A" w:rsidRPr="00DB03CA" w:rsidRDefault="00DD1F8A" w:rsidP="00DD1F8A">
      <w:pPr>
        <w:pStyle w:val="xmsonormal"/>
        <w:numPr>
          <w:ilvl w:val="0"/>
          <w:numId w:val="2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We will conduct </w:t>
      </w:r>
      <w:r w:rsidRPr="00D90149">
        <w:rPr>
          <w:rFonts w:ascii="Calibri" w:hAnsi="Calibri" w:cs="Calibri"/>
          <w:noProof/>
          <w:sz w:val="22"/>
          <w:szCs w:val="22"/>
        </w:rPr>
        <w:t>a HYSPLIT</w:t>
      </w:r>
      <w:r w:rsidRPr="00DB03CA">
        <w:rPr>
          <w:rFonts w:ascii="Calibri" w:hAnsi="Calibri" w:cs="Calibri"/>
          <w:sz w:val="22"/>
          <w:szCs w:val="22"/>
        </w:rPr>
        <w:t xml:space="preserve"> back trajectory analysis with meteorological quantities fed by our proposed meteorological simulations in </w:t>
      </w:r>
      <w:r w:rsidR="00CD7494">
        <w:rPr>
          <w:rFonts w:ascii="Calibri" w:hAnsi="Calibri" w:cs="Calibri"/>
          <w:sz w:val="22"/>
          <w:szCs w:val="22"/>
        </w:rPr>
        <w:t>Task 3</w:t>
      </w:r>
      <w:r w:rsidRPr="00DB03CA">
        <w:rPr>
          <w:rFonts w:ascii="Calibri" w:hAnsi="Calibri" w:cs="Calibri"/>
          <w:sz w:val="22"/>
          <w:szCs w:val="22"/>
        </w:rPr>
        <w:t>. Base</w:t>
      </w:r>
      <w:r>
        <w:rPr>
          <w:rFonts w:ascii="Calibri" w:hAnsi="Calibri" w:cs="Calibri"/>
          <w:sz w:val="22"/>
          <w:szCs w:val="22"/>
        </w:rPr>
        <w:t>d</w:t>
      </w:r>
      <w:r w:rsidRPr="00DB03CA">
        <w:rPr>
          <w:rFonts w:ascii="Calibri" w:hAnsi="Calibri" w:cs="Calibri"/>
          <w:sz w:val="22"/>
          <w:szCs w:val="22"/>
        </w:rPr>
        <w:t xml:space="preserve"> on HYSPLIT results, we will identify potential contributing sources in the far field of canister locations. </w:t>
      </w:r>
    </w:p>
    <w:p w14:paraId="755BEA90" w14:textId="77777777" w:rsidR="00DD1F8A" w:rsidRPr="00DB03CA" w:rsidRDefault="00DD1F8A" w:rsidP="00DD1F8A">
      <w:pPr>
        <w:pStyle w:val="xmsonormal"/>
        <w:numPr>
          <w:ilvl w:val="0"/>
          <w:numId w:val="21"/>
        </w:numPr>
        <w:shd w:val="clear" w:color="auto" w:fill="FFFFFF"/>
        <w:spacing w:before="0" w:beforeAutospacing="0" w:after="0" w:afterAutospacing="0"/>
        <w:rPr>
          <w:rFonts w:ascii="Calibri" w:hAnsi="Calibri" w:cs="Calibri"/>
          <w:sz w:val="22"/>
          <w:szCs w:val="22"/>
        </w:rPr>
      </w:pPr>
      <w:r w:rsidRPr="00DB03CA">
        <w:rPr>
          <w:rFonts w:ascii="Calibri" w:hAnsi="Calibri" w:cs="Calibri"/>
          <w:sz w:val="22"/>
          <w:szCs w:val="22"/>
        </w:rPr>
        <w:t>The results from wind analysis and</w:t>
      </w:r>
      <w:r>
        <w:rPr>
          <w:rFonts w:ascii="Calibri" w:hAnsi="Calibri" w:cs="Calibri"/>
          <w:sz w:val="22"/>
          <w:szCs w:val="22"/>
        </w:rPr>
        <w:t xml:space="preserve"> the</w:t>
      </w:r>
      <w:r w:rsidRPr="00DB03CA">
        <w:rPr>
          <w:rFonts w:ascii="Calibri" w:hAnsi="Calibri" w:cs="Calibri"/>
          <w:sz w:val="22"/>
          <w:szCs w:val="22"/>
        </w:rPr>
        <w:t xml:space="preserve"> HYSPLIT model will help identify potential contributing sources, both in </w:t>
      </w:r>
      <w:r>
        <w:rPr>
          <w:rFonts w:ascii="Calibri" w:hAnsi="Calibri" w:cs="Calibri"/>
          <w:sz w:val="22"/>
          <w:szCs w:val="22"/>
        </w:rPr>
        <w:t xml:space="preserve">the </w:t>
      </w:r>
      <w:r w:rsidRPr="00DB03CA">
        <w:rPr>
          <w:rFonts w:ascii="Calibri" w:hAnsi="Calibri" w:cs="Calibri"/>
          <w:sz w:val="22"/>
          <w:szCs w:val="22"/>
        </w:rPr>
        <w:t xml:space="preserve">near field and far field, to </w:t>
      </w:r>
      <w:r>
        <w:rPr>
          <w:rFonts w:ascii="Calibri" w:hAnsi="Calibri" w:cs="Calibri"/>
          <w:sz w:val="22"/>
          <w:szCs w:val="22"/>
        </w:rPr>
        <w:t>measured</w:t>
      </w:r>
      <w:r w:rsidRPr="00DB03CA">
        <w:rPr>
          <w:rFonts w:ascii="Calibri" w:hAnsi="Calibri" w:cs="Calibri"/>
          <w:sz w:val="22"/>
          <w:szCs w:val="22"/>
        </w:rPr>
        <w:t xml:space="preserve"> organic compound </w:t>
      </w:r>
      <w:r>
        <w:rPr>
          <w:rFonts w:ascii="Calibri" w:hAnsi="Calibri" w:cs="Calibri"/>
          <w:sz w:val="22"/>
          <w:szCs w:val="22"/>
        </w:rPr>
        <w:t>concentrations</w:t>
      </w:r>
      <w:r w:rsidRPr="00DB03CA">
        <w:rPr>
          <w:rFonts w:ascii="Calibri" w:hAnsi="Calibri" w:cs="Calibri"/>
          <w:sz w:val="22"/>
          <w:szCs w:val="22"/>
        </w:rPr>
        <w:t xml:space="preserve">. This information helps to develop an appropriate number of factors to </w:t>
      </w:r>
      <w:r w:rsidRPr="00D90149">
        <w:rPr>
          <w:rFonts w:ascii="Calibri" w:hAnsi="Calibri" w:cs="Calibri"/>
          <w:noProof/>
          <w:sz w:val="22"/>
          <w:szCs w:val="22"/>
        </w:rPr>
        <w:t>be used</w:t>
      </w:r>
      <w:r w:rsidRPr="00DB03CA">
        <w:rPr>
          <w:rFonts w:ascii="Calibri" w:hAnsi="Calibri" w:cs="Calibri"/>
          <w:sz w:val="22"/>
          <w:szCs w:val="22"/>
        </w:rPr>
        <w:t xml:space="preserve"> as input for the PMF analysis.</w:t>
      </w:r>
    </w:p>
    <w:p w14:paraId="62428FFF" w14:textId="77777777" w:rsidR="00DD1F8A" w:rsidRPr="00DB03CA" w:rsidRDefault="00DD1F8A" w:rsidP="00DD1F8A">
      <w:pPr>
        <w:pStyle w:val="xmsonormal"/>
        <w:numPr>
          <w:ilvl w:val="0"/>
          <w:numId w:val="2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We will p</w:t>
      </w:r>
      <w:r w:rsidRPr="00DB03CA">
        <w:rPr>
          <w:rFonts w:ascii="Calibri" w:hAnsi="Calibri" w:cs="Calibri"/>
          <w:sz w:val="22"/>
          <w:szCs w:val="22"/>
        </w:rPr>
        <w:t xml:space="preserve">erform PMF model analysis with organic compound </w:t>
      </w:r>
      <w:r>
        <w:rPr>
          <w:rFonts w:ascii="Calibri" w:hAnsi="Calibri" w:cs="Calibri"/>
          <w:sz w:val="22"/>
          <w:szCs w:val="22"/>
        </w:rPr>
        <w:t>data</w:t>
      </w:r>
      <w:r w:rsidRPr="00DB03CA">
        <w:rPr>
          <w:rFonts w:ascii="Calibri" w:hAnsi="Calibri" w:cs="Calibri"/>
          <w:sz w:val="22"/>
          <w:szCs w:val="22"/>
        </w:rPr>
        <w:t xml:space="preserve"> collected from the canisters</w:t>
      </w:r>
      <w:r>
        <w:rPr>
          <w:rFonts w:ascii="Calibri" w:hAnsi="Calibri" w:cs="Calibri"/>
          <w:sz w:val="22"/>
          <w:szCs w:val="22"/>
        </w:rPr>
        <w:t xml:space="preserve"> and DNPH cartridges</w:t>
      </w:r>
      <w:r w:rsidRPr="00DB03CA">
        <w:rPr>
          <w:rFonts w:ascii="Calibri" w:hAnsi="Calibri" w:cs="Calibri"/>
          <w:sz w:val="22"/>
          <w:szCs w:val="22"/>
        </w:rPr>
        <w:t>. We will analy</w:t>
      </w:r>
      <w:r>
        <w:rPr>
          <w:rFonts w:ascii="Calibri" w:hAnsi="Calibri" w:cs="Calibri"/>
          <w:sz w:val="22"/>
          <w:szCs w:val="22"/>
        </w:rPr>
        <w:t>ze</w:t>
      </w:r>
      <w:r w:rsidRPr="00DB03CA">
        <w:rPr>
          <w:rFonts w:ascii="Calibri" w:hAnsi="Calibri" w:cs="Calibri"/>
          <w:sz w:val="22"/>
          <w:szCs w:val="22"/>
        </w:rPr>
        <w:t xml:space="preserve"> the PFM outputs for a set of organic compounds and compare the organic compound composition</w:t>
      </w:r>
      <w:r>
        <w:rPr>
          <w:rFonts w:ascii="Calibri" w:hAnsi="Calibri" w:cs="Calibri"/>
          <w:sz w:val="22"/>
          <w:szCs w:val="22"/>
        </w:rPr>
        <w:t>s</w:t>
      </w:r>
      <w:r w:rsidRPr="00DB03CA">
        <w:rPr>
          <w:rFonts w:ascii="Calibri" w:hAnsi="Calibri" w:cs="Calibri"/>
          <w:sz w:val="22"/>
          <w:szCs w:val="22"/>
        </w:rPr>
        <w:t xml:space="preserve"> from PMF with those of known sources</w:t>
      </w:r>
      <w:r>
        <w:rPr>
          <w:rFonts w:ascii="Calibri" w:hAnsi="Calibri" w:cs="Calibri"/>
          <w:sz w:val="22"/>
          <w:szCs w:val="22"/>
        </w:rPr>
        <w:t xml:space="preserve"> (based on previous emission composition measurements and samples collected in this study)</w:t>
      </w:r>
      <w:r w:rsidRPr="00DB03CA">
        <w:rPr>
          <w:rFonts w:ascii="Calibri" w:hAnsi="Calibri" w:cs="Calibri"/>
          <w:sz w:val="22"/>
          <w:szCs w:val="22"/>
        </w:rPr>
        <w:t xml:space="preserve"> to identify source activities (e.g., tanks, flash gas, fuel combustion, diesel truck) that contributed to </w:t>
      </w:r>
      <w:r>
        <w:rPr>
          <w:rFonts w:ascii="Calibri" w:hAnsi="Calibri" w:cs="Calibri"/>
          <w:sz w:val="22"/>
          <w:szCs w:val="22"/>
        </w:rPr>
        <w:t>measured concentrations</w:t>
      </w:r>
      <w:r w:rsidRPr="00DB03CA">
        <w:rPr>
          <w:rFonts w:ascii="Calibri" w:hAnsi="Calibri" w:cs="Calibri"/>
          <w:sz w:val="22"/>
          <w:szCs w:val="22"/>
        </w:rPr>
        <w:t>.</w:t>
      </w:r>
    </w:p>
    <w:p w14:paraId="2E9B02E1" w14:textId="77777777" w:rsidR="00DD1F8A" w:rsidRPr="00DB03CA" w:rsidRDefault="00DD1F8A" w:rsidP="00DD1F8A">
      <w:pPr>
        <w:pStyle w:val="xmsonormal"/>
        <w:numPr>
          <w:ilvl w:val="0"/>
          <w:numId w:val="21"/>
        </w:numPr>
        <w:shd w:val="clear" w:color="auto" w:fill="FFFFFF"/>
        <w:spacing w:before="0" w:beforeAutospacing="0" w:after="0" w:afterAutospacing="0"/>
        <w:rPr>
          <w:rFonts w:ascii="Calibri" w:hAnsi="Calibri" w:cs="Calibri"/>
          <w:sz w:val="22"/>
          <w:szCs w:val="22"/>
        </w:rPr>
      </w:pPr>
      <w:r w:rsidRPr="00DB03CA">
        <w:rPr>
          <w:rFonts w:ascii="Calibri" w:hAnsi="Calibri" w:cs="Calibri"/>
          <w:sz w:val="22"/>
          <w:szCs w:val="22"/>
        </w:rPr>
        <w:t xml:space="preserve">We will do a synthesis </w:t>
      </w:r>
      <w:r w:rsidRPr="00CD7494">
        <w:rPr>
          <w:rFonts w:ascii="Calibri" w:hAnsi="Calibri" w:cs="Calibri"/>
          <w:noProof/>
          <w:sz w:val="22"/>
          <w:szCs w:val="22"/>
        </w:rPr>
        <w:t>analysis</w:t>
      </w:r>
      <w:r w:rsidRPr="00CD7494">
        <w:rPr>
          <w:rFonts w:ascii="Calibri" w:hAnsi="Calibri" w:cs="Calibri"/>
          <w:sz w:val="22"/>
          <w:szCs w:val="22"/>
        </w:rPr>
        <w:t xml:space="preserve"> combining</w:t>
      </w:r>
      <w:r w:rsidRPr="00DB03CA">
        <w:rPr>
          <w:rFonts w:ascii="Calibri" w:hAnsi="Calibri" w:cs="Calibri"/>
          <w:sz w:val="22"/>
          <w:szCs w:val="22"/>
        </w:rPr>
        <w:t xml:space="preserve"> the wind speed and direction, HYSPLIT and PMF results for definite identifications of source contribution</w:t>
      </w:r>
      <w:r>
        <w:rPr>
          <w:rFonts w:ascii="Calibri" w:hAnsi="Calibri" w:cs="Calibri"/>
          <w:sz w:val="22"/>
          <w:szCs w:val="22"/>
        </w:rPr>
        <w:t>s</w:t>
      </w:r>
      <w:r w:rsidRPr="00DB03CA">
        <w:rPr>
          <w:rFonts w:ascii="Calibri" w:hAnsi="Calibri" w:cs="Calibri"/>
          <w:sz w:val="22"/>
          <w:szCs w:val="22"/>
        </w:rPr>
        <w:t xml:space="preserve"> to the canister samples. These </w:t>
      </w:r>
      <w:r w:rsidRPr="00DB03CA">
        <w:rPr>
          <w:rFonts w:ascii="Calibri" w:hAnsi="Calibri" w:cs="Calibri"/>
          <w:sz w:val="22"/>
          <w:szCs w:val="22"/>
        </w:rPr>
        <w:lastRenderedPageBreak/>
        <w:t xml:space="preserve">identifications include the type of sources (e.g., pump jack, </w:t>
      </w:r>
      <w:r w:rsidRPr="00D90149">
        <w:rPr>
          <w:rFonts w:ascii="Calibri" w:hAnsi="Calibri" w:cs="Calibri"/>
          <w:noProof/>
          <w:sz w:val="22"/>
          <w:szCs w:val="22"/>
        </w:rPr>
        <w:t>well head</w:t>
      </w:r>
      <w:r w:rsidRPr="00D90149">
        <w:rPr>
          <w:rFonts w:ascii="Calibri" w:hAnsi="Calibri" w:cs="Calibri"/>
          <w:sz w:val="22"/>
          <w:szCs w:val="22"/>
        </w:rPr>
        <w:t xml:space="preserve"> </w:t>
      </w:r>
      <w:r w:rsidRPr="00D90149">
        <w:rPr>
          <w:rFonts w:ascii="Calibri" w:hAnsi="Calibri" w:cs="Calibri"/>
          <w:noProof/>
          <w:sz w:val="22"/>
          <w:szCs w:val="22"/>
        </w:rPr>
        <w:t>etc</w:t>
      </w:r>
      <w:r w:rsidRPr="00DB03CA">
        <w:rPr>
          <w:rFonts w:ascii="Calibri" w:hAnsi="Calibri" w:cs="Calibri"/>
          <w:sz w:val="22"/>
          <w:szCs w:val="22"/>
        </w:rPr>
        <w:t>) and location of sources. Th</w:t>
      </w:r>
      <w:r>
        <w:rPr>
          <w:rFonts w:ascii="Calibri" w:hAnsi="Calibri" w:cs="Calibri"/>
          <w:sz w:val="22"/>
          <w:szCs w:val="22"/>
        </w:rPr>
        <w:t>is</w:t>
      </w:r>
      <w:r w:rsidRPr="00DB03CA">
        <w:rPr>
          <w:rFonts w:ascii="Calibri" w:hAnsi="Calibri" w:cs="Calibri"/>
          <w:sz w:val="22"/>
          <w:szCs w:val="22"/>
        </w:rPr>
        <w:t xml:space="preserve"> information will help us to develop spatial and source-type emission factors of organic compounds for running</w:t>
      </w:r>
      <w:r>
        <w:rPr>
          <w:rFonts w:ascii="Calibri" w:hAnsi="Calibri" w:cs="Calibri"/>
          <w:sz w:val="22"/>
          <w:szCs w:val="22"/>
        </w:rPr>
        <w:t xml:space="preserve"> the</w:t>
      </w:r>
      <w:r w:rsidRPr="00DB03CA">
        <w:rPr>
          <w:rFonts w:ascii="Calibri" w:hAnsi="Calibri" w:cs="Calibri"/>
          <w:sz w:val="22"/>
          <w:szCs w:val="22"/>
        </w:rPr>
        <w:t xml:space="preserve"> 3D-photochemical simulation presented in </w:t>
      </w:r>
      <w:r>
        <w:rPr>
          <w:rFonts w:ascii="Calibri" w:hAnsi="Calibri" w:cs="Calibri"/>
          <w:sz w:val="22"/>
          <w:szCs w:val="22"/>
        </w:rPr>
        <w:t>Task 3.</w:t>
      </w:r>
    </w:p>
    <w:p w14:paraId="0BCA3208" w14:textId="77777777" w:rsidR="00DD1F8A" w:rsidRPr="00DB03CA" w:rsidRDefault="00DD1F8A" w:rsidP="00DD1F8A">
      <w:pPr>
        <w:pStyle w:val="xmsonormal"/>
        <w:shd w:val="clear" w:color="auto" w:fill="FFFFFF"/>
        <w:spacing w:before="0" w:beforeAutospacing="0" w:after="0" w:afterAutospacing="0"/>
        <w:rPr>
          <w:rFonts w:ascii="Calibri" w:hAnsi="Calibri" w:cs="Calibri"/>
          <w:sz w:val="22"/>
          <w:szCs w:val="22"/>
        </w:rPr>
      </w:pPr>
    </w:p>
    <w:p w14:paraId="66EE0A89" w14:textId="77777777" w:rsidR="00DD1F8A" w:rsidRPr="00DB03CA" w:rsidRDefault="00DD1F8A" w:rsidP="00DD1F8A">
      <w:pPr>
        <w:pStyle w:val="xmsonormal"/>
        <w:shd w:val="clear" w:color="auto" w:fill="FFFFFF"/>
        <w:spacing w:before="0" w:beforeAutospacing="0" w:after="0" w:afterAutospacing="0"/>
        <w:rPr>
          <w:rFonts w:ascii="Calibri" w:hAnsi="Calibri" w:cs="Calibri"/>
          <w:sz w:val="22"/>
          <w:szCs w:val="22"/>
        </w:rPr>
      </w:pPr>
      <w:r w:rsidRPr="00DB03CA">
        <w:rPr>
          <w:rFonts w:ascii="Calibri" w:hAnsi="Calibri" w:cs="Calibri"/>
          <w:sz w:val="22"/>
          <w:szCs w:val="22"/>
        </w:rPr>
        <w:t>From this analyses, we will answer the following questions:</w:t>
      </w:r>
    </w:p>
    <w:p w14:paraId="55171B5C" w14:textId="77777777" w:rsidR="00DD1F8A" w:rsidRPr="00DB03CA" w:rsidRDefault="00DD1F8A" w:rsidP="00DD1F8A">
      <w:pPr>
        <w:pStyle w:val="xmsonormal"/>
        <w:numPr>
          <w:ilvl w:val="0"/>
          <w:numId w:val="22"/>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Can</w:t>
      </w:r>
      <w:r w:rsidRPr="00DB03CA">
        <w:rPr>
          <w:rFonts w:ascii="Calibri" w:hAnsi="Calibri" w:cs="Calibri"/>
          <w:sz w:val="22"/>
          <w:szCs w:val="22"/>
        </w:rPr>
        <w:t xml:space="preserve"> organic compound compositions of known oil and gas sources reasonably explain the organic compound compositions </w:t>
      </w:r>
      <w:r>
        <w:rPr>
          <w:rFonts w:ascii="Calibri" w:hAnsi="Calibri" w:cs="Calibri"/>
          <w:sz w:val="22"/>
          <w:szCs w:val="22"/>
        </w:rPr>
        <w:t>in measurement data</w:t>
      </w:r>
      <w:r w:rsidRPr="00DB03CA">
        <w:rPr>
          <w:rFonts w:ascii="Calibri" w:hAnsi="Calibri" w:cs="Calibri"/>
          <w:sz w:val="22"/>
          <w:szCs w:val="22"/>
        </w:rPr>
        <w:t xml:space="preserve">? </w:t>
      </w:r>
    </w:p>
    <w:p w14:paraId="72818058" w14:textId="77777777" w:rsidR="00DD1F8A" w:rsidRPr="00CD7494" w:rsidRDefault="00DD1F8A" w:rsidP="00DD1F8A">
      <w:pPr>
        <w:pStyle w:val="xmsonormal"/>
        <w:numPr>
          <w:ilvl w:val="0"/>
          <w:numId w:val="22"/>
        </w:numPr>
        <w:shd w:val="clear" w:color="auto" w:fill="FFFFFF"/>
        <w:spacing w:before="0" w:beforeAutospacing="0" w:after="0" w:afterAutospacing="0"/>
        <w:rPr>
          <w:rFonts w:ascii="Calibri" w:hAnsi="Calibri" w:cs="Calibri"/>
          <w:sz w:val="22"/>
          <w:szCs w:val="22"/>
        </w:rPr>
      </w:pPr>
      <w:r w:rsidRPr="00DB03CA">
        <w:rPr>
          <w:rFonts w:ascii="Calibri" w:hAnsi="Calibri" w:cs="Calibri"/>
          <w:sz w:val="22"/>
          <w:szCs w:val="22"/>
        </w:rPr>
        <w:t>C</w:t>
      </w:r>
      <w:r>
        <w:rPr>
          <w:rFonts w:ascii="Calibri" w:hAnsi="Calibri" w:cs="Calibri"/>
          <w:sz w:val="22"/>
          <w:szCs w:val="22"/>
        </w:rPr>
        <w:t>an</w:t>
      </w:r>
      <w:r w:rsidRPr="00DB03CA">
        <w:rPr>
          <w:rFonts w:ascii="Calibri" w:hAnsi="Calibri" w:cs="Calibri"/>
          <w:sz w:val="22"/>
          <w:szCs w:val="22"/>
        </w:rPr>
        <w:t xml:space="preserve"> any unidentified </w:t>
      </w:r>
      <w:r>
        <w:rPr>
          <w:rFonts w:ascii="Calibri" w:hAnsi="Calibri" w:cs="Calibri"/>
          <w:sz w:val="22"/>
          <w:szCs w:val="22"/>
        </w:rPr>
        <w:t xml:space="preserve">portion of </w:t>
      </w:r>
      <w:r w:rsidRPr="00DB03CA">
        <w:rPr>
          <w:rFonts w:ascii="Calibri" w:hAnsi="Calibri" w:cs="Calibri"/>
          <w:sz w:val="22"/>
          <w:szCs w:val="22"/>
        </w:rPr>
        <w:t>organic compound composition</w:t>
      </w:r>
      <w:r>
        <w:rPr>
          <w:rFonts w:ascii="Calibri" w:hAnsi="Calibri" w:cs="Calibri"/>
          <w:sz w:val="22"/>
          <w:szCs w:val="22"/>
        </w:rPr>
        <w:t>s</w:t>
      </w:r>
      <w:r w:rsidRPr="00DB03CA">
        <w:rPr>
          <w:rFonts w:ascii="Calibri" w:hAnsi="Calibri" w:cs="Calibri"/>
          <w:sz w:val="22"/>
          <w:szCs w:val="22"/>
        </w:rPr>
        <w:t xml:space="preserve"> be explained with organic </w:t>
      </w:r>
      <w:r w:rsidRPr="00CD7494">
        <w:rPr>
          <w:rFonts w:ascii="Calibri" w:hAnsi="Calibri" w:cs="Calibri"/>
          <w:sz w:val="22"/>
          <w:szCs w:val="22"/>
        </w:rPr>
        <w:t>compound compositions from known sources outside the Uintah Basin?</w:t>
      </w:r>
    </w:p>
    <w:p w14:paraId="6D25ADB2" w14:textId="77777777" w:rsidR="00DD1F8A" w:rsidRPr="00DB03CA" w:rsidRDefault="00DD1F8A" w:rsidP="00DD1F8A">
      <w:pPr>
        <w:pStyle w:val="xmsonormal"/>
        <w:numPr>
          <w:ilvl w:val="0"/>
          <w:numId w:val="22"/>
        </w:numPr>
        <w:shd w:val="clear" w:color="auto" w:fill="FFFFFF"/>
        <w:spacing w:before="0" w:beforeAutospacing="0" w:after="0" w:afterAutospacing="0"/>
        <w:rPr>
          <w:rFonts w:ascii="Calibri" w:hAnsi="Calibri" w:cs="Calibri"/>
          <w:sz w:val="22"/>
          <w:szCs w:val="22"/>
        </w:rPr>
      </w:pPr>
      <w:r w:rsidRPr="00CD7494">
        <w:rPr>
          <w:rFonts w:ascii="Calibri" w:hAnsi="Calibri" w:cs="Calibri"/>
          <w:sz w:val="22"/>
          <w:szCs w:val="22"/>
        </w:rPr>
        <w:t xml:space="preserve">Do the </w:t>
      </w:r>
      <w:r w:rsidRPr="00CD7494">
        <w:rPr>
          <w:rFonts w:ascii="Calibri" w:hAnsi="Calibri" w:cs="Calibri"/>
          <w:noProof/>
          <w:sz w:val="22"/>
          <w:szCs w:val="22"/>
        </w:rPr>
        <w:t>majority</w:t>
      </w:r>
      <w:r w:rsidRPr="00DB03CA">
        <w:rPr>
          <w:rFonts w:ascii="Calibri" w:hAnsi="Calibri" w:cs="Calibri"/>
          <w:sz w:val="22"/>
          <w:szCs w:val="22"/>
        </w:rPr>
        <w:t xml:space="preserve"> of organic compounds come from oil and gas productions? Are there accountable contributions from non-oil and gas</w:t>
      </w:r>
      <w:r>
        <w:rPr>
          <w:rFonts w:ascii="Calibri" w:hAnsi="Calibri" w:cs="Calibri"/>
          <w:sz w:val="22"/>
          <w:szCs w:val="22"/>
        </w:rPr>
        <w:t xml:space="preserve"> sources, including</w:t>
      </w:r>
      <w:r w:rsidRPr="00DB03CA">
        <w:rPr>
          <w:rFonts w:ascii="Calibri" w:hAnsi="Calibri" w:cs="Calibri"/>
          <w:sz w:val="22"/>
          <w:szCs w:val="22"/>
        </w:rPr>
        <w:t xml:space="preserve"> biomass burning, mobile</w:t>
      </w:r>
      <w:r>
        <w:rPr>
          <w:rFonts w:ascii="Calibri" w:hAnsi="Calibri" w:cs="Calibri"/>
          <w:sz w:val="22"/>
          <w:szCs w:val="22"/>
        </w:rPr>
        <w:t xml:space="preserve"> sources</w:t>
      </w:r>
      <w:r w:rsidRPr="00DB03CA">
        <w:rPr>
          <w:rFonts w:ascii="Calibri" w:hAnsi="Calibri" w:cs="Calibri"/>
          <w:sz w:val="22"/>
          <w:szCs w:val="22"/>
        </w:rPr>
        <w:t xml:space="preserve">, </w:t>
      </w:r>
      <w:r>
        <w:rPr>
          <w:rFonts w:ascii="Calibri" w:hAnsi="Calibri" w:cs="Calibri"/>
          <w:sz w:val="22"/>
          <w:szCs w:val="22"/>
        </w:rPr>
        <w:t>or</w:t>
      </w:r>
      <w:r w:rsidRPr="00DB03CA">
        <w:rPr>
          <w:rFonts w:ascii="Calibri" w:hAnsi="Calibri" w:cs="Calibri"/>
          <w:sz w:val="22"/>
          <w:szCs w:val="22"/>
        </w:rPr>
        <w:t xml:space="preserve"> biogenic</w:t>
      </w:r>
      <w:r>
        <w:rPr>
          <w:rFonts w:ascii="Calibri" w:hAnsi="Calibri" w:cs="Calibri"/>
          <w:sz w:val="22"/>
          <w:szCs w:val="22"/>
        </w:rPr>
        <w:t xml:space="preserve"> sources</w:t>
      </w:r>
      <w:r w:rsidRPr="00DB03CA">
        <w:rPr>
          <w:rFonts w:ascii="Calibri" w:hAnsi="Calibri" w:cs="Calibri"/>
          <w:sz w:val="22"/>
          <w:szCs w:val="22"/>
        </w:rPr>
        <w:t>?</w:t>
      </w:r>
    </w:p>
    <w:p w14:paraId="59857E13" w14:textId="77777777" w:rsidR="00DD1F8A" w:rsidRPr="00DB03CA" w:rsidRDefault="00DD1F8A" w:rsidP="00DD1F8A">
      <w:pPr>
        <w:pStyle w:val="xmsonormal"/>
        <w:numPr>
          <w:ilvl w:val="0"/>
          <w:numId w:val="22"/>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How does</w:t>
      </w:r>
      <w:r w:rsidRPr="00DB03CA">
        <w:rPr>
          <w:rFonts w:ascii="Calibri" w:hAnsi="Calibri" w:cs="Calibri"/>
          <w:sz w:val="22"/>
          <w:szCs w:val="22"/>
        </w:rPr>
        <w:t xml:space="preserve"> </w:t>
      </w:r>
      <w:r w:rsidRPr="00D90149">
        <w:rPr>
          <w:rFonts w:ascii="Calibri" w:hAnsi="Calibri" w:cs="Calibri"/>
          <w:noProof/>
          <w:sz w:val="22"/>
          <w:szCs w:val="22"/>
        </w:rPr>
        <w:t>secondary</w:t>
      </w:r>
      <w:r>
        <w:rPr>
          <w:rFonts w:ascii="Calibri" w:hAnsi="Calibri" w:cs="Calibri"/>
          <w:sz w:val="22"/>
          <w:szCs w:val="22"/>
        </w:rPr>
        <w:t xml:space="preserve"> (photochemical)</w:t>
      </w:r>
      <w:r w:rsidRPr="00DB03CA">
        <w:rPr>
          <w:rFonts w:ascii="Calibri" w:hAnsi="Calibri" w:cs="Calibri"/>
          <w:sz w:val="22"/>
          <w:szCs w:val="22"/>
        </w:rPr>
        <w:t xml:space="preserve"> transformation</w:t>
      </w:r>
      <w:r>
        <w:rPr>
          <w:rFonts w:ascii="Calibri" w:hAnsi="Calibri" w:cs="Calibri"/>
          <w:sz w:val="22"/>
          <w:szCs w:val="22"/>
        </w:rPr>
        <w:t xml:space="preserve"> impact </w:t>
      </w:r>
      <w:r w:rsidRPr="00D90149">
        <w:rPr>
          <w:rFonts w:ascii="Calibri" w:hAnsi="Calibri" w:cs="Calibri"/>
          <w:noProof/>
          <w:sz w:val="22"/>
          <w:szCs w:val="22"/>
        </w:rPr>
        <w:t>measured</w:t>
      </w:r>
      <w:r>
        <w:rPr>
          <w:rFonts w:ascii="Calibri" w:hAnsi="Calibri" w:cs="Calibri"/>
          <w:sz w:val="22"/>
          <w:szCs w:val="22"/>
        </w:rPr>
        <w:t xml:space="preserve"> organic compound compositions</w:t>
      </w:r>
      <w:r w:rsidRPr="00DB03CA">
        <w:rPr>
          <w:rFonts w:ascii="Calibri" w:hAnsi="Calibri" w:cs="Calibri"/>
          <w:sz w:val="22"/>
          <w:szCs w:val="22"/>
        </w:rPr>
        <w:t>?</w:t>
      </w:r>
    </w:p>
    <w:p w14:paraId="714274D8" w14:textId="77777777" w:rsidR="00DD1F8A" w:rsidRPr="00DB03CA" w:rsidRDefault="00DD1F8A" w:rsidP="00DD1F8A">
      <w:pPr>
        <w:pStyle w:val="xmsonormal"/>
        <w:numPr>
          <w:ilvl w:val="0"/>
          <w:numId w:val="22"/>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What differences</w:t>
      </w:r>
      <w:r w:rsidRPr="00DB03CA">
        <w:rPr>
          <w:rFonts w:ascii="Calibri" w:hAnsi="Calibri" w:cs="Calibri"/>
          <w:sz w:val="22"/>
          <w:szCs w:val="22"/>
        </w:rPr>
        <w:t xml:space="preserve"> in organic compound composition</w:t>
      </w:r>
      <w:r>
        <w:rPr>
          <w:rFonts w:ascii="Calibri" w:hAnsi="Calibri" w:cs="Calibri"/>
          <w:sz w:val="22"/>
          <w:szCs w:val="22"/>
        </w:rPr>
        <w:t>s exist</w:t>
      </w:r>
      <w:r w:rsidRPr="00DB03CA">
        <w:rPr>
          <w:rFonts w:ascii="Calibri" w:hAnsi="Calibri" w:cs="Calibri"/>
          <w:sz w:val="22"/>
          <w:szCs w:val="22"/>
        </w:rPr>
        <w:t xml:space="preserve"> between </w:t>
      </w:r>
      <w:r>
        <w:rPr>
          <w:rFonts w:ascii="Calibri" w:hAnsi="Calibri" w:cs="Calibri"/>
          <w:sz w:val="22"/>
          <w:szCs w:val="22"/>
        </w:rPr>
        <w:t>areas where gas vs. oil production is dominant</w:t>
      </w:r>
      <w:r w:rsidRPr="00DB03CA">
        <w:rPr>
          <w:rFonts w:ascii="Calibri" w:hAnsi="Calibri" w:cs="Calibri"/>
          <w:sz w:val="22"/>
          <w:szCs w:val="22"/>
        </w:rPr>
        <w:t>?</w:t>
      </w:r>
    </w:p>
    <w:p w14:paraId="1D89696C" w14:textId="77777777" w:rsidR="00DD1F8A" w:rsidRPr="00DB03CA" w:rsidRDefault="00DD1F8A" w:rsidP="00DD1F8A">
      <w:pPr>
        <w:pStyle w:val="xmsonormal"/>
        <w:numPr>
          <w:ilvl w:val="0"/>
          <w:numId w:val="22"/>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Do</w:t>
      </w:r>
      <w:r w:rsidRPr="00DB03CA">
        <w:rPr>
          <w:rFonts w:ascii="Calibri" w:hAnsi="Calibri" w:cs="Calibri"/>
          <w:sz w:val="22"/>
          <w:szCs w:val="22"/>
        </w:rPr>
        <w:t xml:space="preserve"> the organic compound speciation</w:t>
      </w:r>
      <w:r>
        <w:rPr>
          <w:rFonts w:ascii="Calibri" w:hAnsi="Calibri" w:cs="Calibri"/>
          <w:sz w:val="22"/>
          <w:szCs w:val="22"/>
        </w:rPr>
        <w:t xml:space="preserve"> profiles</w:t>
      </w:r>
      <w:r w:rsidRPr="00682842">
        <w:rPr>
          <w:rFonts w:ascii="Calibri" w:hAnsi="Calibri" w:cs="Calibri"/>
          <w:sz w:val="22"/>
          <w:szCs w:val="22"/>
        </w:rPr>
        <w:t xml:space="preserve"> </w:t>
      </w:r>
      <w:r w:rsidRPr="00DB03CA">
        <w:rPr>
          <w:rFonts w:ascii="Calibri" w:hAnsi="Calibri" w:cs="Calibri"/>
          <w:sz w:val="22"/>
          <w:szCs w:val="22"/>
        </w:rPr>
        <w:t>for flash</w:t>
      </w:r>
      <w:r>
        <w:rPr>
          <w:rFonts w:ascii="Calibri" w:hAnsi="Calibri" w:cs="Calibri"/>
          <w:sz w:val="22"/>
          <w:szCs w:val="22"/>
        </w:rPr>
        <w:t>ed</w:t>
      </w:r>
      <w:r w:rsidRPr="00DB03CA">
        <w:rPr>
          <w:rFonts w:ascii="Calibri" w:hAnsi="Calibri" w:cs="Calibri"/>
          <w:sz w:val="22"/>
          <w:szCs w:val="22"/>
        </w:rPr>
        <w:t xml:space="preserve"> and raw gas</w:t>
      </w:r>
      <w:r w:rsidRPr="003F061F">
        <w:rPr>
          <w:rFonts w:ascii="Calibri" w:hAnsi="Calibri" w:cs="Calibri"/>
          <w:sz w:val="22"/>
          <w:szCs w:val="22"/>
        </w:rPr>
        <w:t xml:space="preserve"> developed from</w:t>
      </w:r>
      <w:r>
        <w:rPr>
          <w:rFonts w:ascii="Calibri" w:hAnsi="Calibri" w:cs="Calibri"/>
          <w:sz w:val="22"/>
          <w:szCs w:val="22"/>
        </w:rPr>
        <w:t xml:space="preserve"> the</w:t>
      </w:r>
      <w:r w:rsidRPr="003F061F">
        <w:rPr>
          <w:rFonts w:ascii="Calibri" w:hAnsi="Calibri" w:cs="Calibri"/>
          <w:sz w:val="22"/>
          <w:szCs w:val="22"/>
        </w:rPr>
        <w:t xml:space="preserve"> </w:t>
      </w:r>
      <w:r w:rsidRPr="00DB03CA">
        <w:rPr>
          <w:rFonts w:ascii="Calibri" w:hAnsi="Calibri" w:cs="Calibri"/>
          <w:sz w:val="22"/>
          <w:szCs w:val="22"/>
        </w:rPr>
        <w:t xml:space="preserve">UDAQ composition study </w:t>
      </w:r>
      <w:r>
        <w:rPr>
          <w:rFonts w:ascii="Calibri" w:hAnsi="Calibri" w:cs="Calibri"/>
          <w:sz w:val="22"/>
          <w:szCs w:val="22"/>
        </w:rPr>
        <w:t xml:space="preserve">explain </w:t>
      </w:r>
      <w:r w:rsidRPr="00DB03CA">
        <w:rPr>
          <w:rFonts w:ascii="Calibri" w:hAnsi="Calibri" w:cs="Calibri"/>
          <w:sz w:val="22"/>
          <w:szCs w:val="22"/>
        </w:rPr>
        <w:t xml:space="preserve">ambient organic compound compositions </w:t>
      </w:r>
      <w:r>
        <w:rPr>
          <w:rFonts w:ascii="Calibri" w:hAnsi="Calibri" w:cs="Calibri"/>
          <w:sz w:val="22"/>
          <w:szCs w:val="22"/>
        </w:rPr>
        <w:t>near well pads</w:t>
      </w:r>
      <w:r w:rsidRPr="00DB03CA">
        <w:rPr>
          <w:rFonts w:ascii="Calibri" w:hAnsi="Calibri" w:cs="Calibri"/>
          <w:sz w:val="22"/>
          <w:szCs w:val="22"/>
        </w:rPr>
        <w:t xml:space="preserve">? </w:t>
      </w:r>
      <w:r w:rsidRPr="00D90149">
        <w:rPr>
          <w:rFonts w:ascii="Calibri" w:hAnsi="Calibri" w:cs="Calibri"/>
          <w:noProof/>
          <w:sz w:val="22"/>
          <w:szCs w:val="22"/>
        </w:rPr>
        <w:t>This</w:t>
      </w:r>
      <w:r>
        <w:rPr>
          <w:rFonts w:ascii="Calibri" w:hAnsi="Calibri" w:cs="Calibri"/>
          <w:sz w:val="22"/>
          <w:szCs w:val="22"/>
        </w:rPr>
        <w:t xml:space="preserve"> will</w:t>
      </w:r>
      <w:r w:rsidRPr="00DB03CA">
        <w:rPr>
          <w:rFonts w:ascii="Calibri" w:hAnsi="Calibri" w:cs="Calibri"/>
          <w:sz w:val="22"/>
          <w:szCs w:val="22"/>
        </w:rPr>
        <w:t xml:space="preserve"> help us to verify the accuracy of organic compound profiles developed from </w:t>
      </w:r>
      <w:r>
        <w:rPr>
          <w:rFonts w:ascii="Calibri" w:hAnsi="Calibri" w:cs="Calibri"/>
          <w:sz w:val="22"/>
          <w:szCs w:val="22"/>
        </w:rPr>
        <w:t xml:space="preserve">the </w:t>
      </w:r>
      <w:r w:rsidRPr="00DB03CA">
        <w:rPr>
          <w:rFonts w:ascii="Calibri" w:hAnsi="Calibri" w:cs="Calibri"/>
          <w:sz w:val="22"/>
          <w:szCs w:val="22"/>
        </w:rPr>
        <w:t>UDAQ composition</w:t>
      </w:r>
      <w:r>
        <w:rPr>
          <w:rFonts w:ascii="Calibri" w:hAnsi="Calibri" w:cs="Calibri"/>
          <w:sz w:val="22"/>
          <w:szCs w:val="22"/>
        </w:rPr>
        <w:t xml:space="preserve"> study</w:t>
      </w:r>
      <w:r w:rsidRPr="00DB03CA">
        <w:rPr>
          <w:rFonts w:ascii="Calibri" w:hAnsi="Calibri" w:cs="Calibri"/>
          <w:sz w:val="22"/>
          <w:szCs w:val="22"/>
        </w:rPr>
        <w:t>.</w:t>
      </w:r>
    </w:p>
    <w:p w14:paraId="3B9E1DE4" w14:textId="77777777" w:rsidR="00DD1F8A" w:rsidRPr="00DB03CA" w:rsidRDefault="00DD1F8A" w:rsidP="00DD1F8A">
      <w:pPr>
        <w:pStyle w:val="xmsonormal"/>
        <w:shd w:val="clear" w:color="auto" w:fill="FFFFFF"/>
        <w:spacing w:before="0" w:beforeAutospacing="0" w:after="0" w:afterAutospacing="0"/>
        <w:rPr>
          <w:rFonts w:ascii="Calibri" w:hAnsi="Calibri" w:cs="Calibri"/>
          <w:b/>
          <w:sz w:val="22"/>
          <w:szCs w:val="22"/>
        </w:rPr>
      </w:pPr>
    </w:p>
    <w:p w14:paraId="3BED7C82" w14:textId="77777777" w:rsidR="00DD1F8A" w:rsidRPr="00DB03CA" w:rsidRDefault="00DD1F8A" w:rsidP="00DD1F8A">
      <w:pPr>
        <w:pStyle w:val="xmsonormal"/>
        <w:shd w:val="clear" w:color="auto" w:fill="FFFFFF"/>
        <w:spacing w:before="0" w:beforeAutospacing="0" w:after="0" w:afterAutospacing="0"/>
        <w:rPr>
          <w:rFonts w:ascii="Calibri" w:hAnsi="Calibri" w:cs="Calibri"/>
          <w:b/>
          <w:sz w:val="22"/>
          <w:szCs w:val="22"/>
        </w:rPr>
      </w:pPr>
      <w:r>
        <w:rPr>
          <w:rFonts w:ascii="Calibri" w:hAnsi="Calibri" w:cs="Calibri"/>
          <w:b/>
          <w:sz w:val="22"/>
          <w:szCs w:val="22"/>
        </w:rPr>
        <w:t xml:space="preserve">Task 3: </w:t>
      </w:r>
      <w:r w:rsidRPr="00DB03CA">
        <w:rPr>
          <w:rFonts w:ascii="Calibri" w:hAnsi="Calibri" w:cs="Calibri"/>
          <w:b/>
          <w:sz w:val="22"/>
          <w:szCs w:val="22"/>
        </w:rPr>
        <w:t>Performing 3D</w:t>
      </w:r>
      <w:r>
        <w:rPr>
          <w:rFonts w:ascii="Calibri" w:hAnsi="Calibri" w:cs="Calibri"/>
          <w:b/>
          <w:sz w:val="22"/>
          <w:szCs w:val="22"/>
        </w:rPr>
        <w:t xml:space="preserve"> P</w:t>
      </w:r>
      <w:r w:rsidRPr="00DB03CA">
        <w:rPr>
          <w:rFonts w:ascii="Calibri" w:hAnsi="Calibri" w:cs="Calibri"/>
          <w:b/>
          <w:sz w:val="22"/>
          <w:szCs w:val="22"/>
        </w:rPr>
        <w:t xml:space="preserve">hotochemical </w:t>
      </w:r>
      <w:r>
        <w:rPr>
          <w:rFonts w:ascii="Calibri" w:hAnsi="Calibri" w:cs="Calibri"/>
          <w:b/>
          <w:sz w:val="22"/>
          <w:szCs w:val="22"/>
        </w:rPr>
        <w:t>S</w:t>
      </w:r>
      <w:r w:rsidRPr="00DB03CA">
        <w:rPr>
          <w:rFonts w:ascii="Calibri" w:hAnsi="Calibri" w:cs="Calibri"/>
          <w:b/>
          <w:sz w:val="22"/>
          <w:szCs w:val="22"/>
        </w:rPr>
        <w:t xml:space="preserve">imulations with </w:t>
      </w:r>
      <w:r>
        <w:rPr>
          <w:rFonts w:ascii="Calibri" w:hAnsi="Calibri" w:cs="Calibri"/>
          <w:b/>
          <w:sz w:val="22"/>
          <w:szCs w:val="22"/>
        </w:rPr>
        <w:t>R</w:t>
      </w:r>
      <w:r w:rsidRPr="00DB03CA">
        <w:rPr>
          <w:rFonts w:ascii="Calibri" w:hAnsi="Calibri" w:cs="Calibri"/>
          <w:b/>
          <w:sz w:val="22"/>
          <w:szCs w:val="22"/>
        </w:rPr>
        <w:t xml:space="preserve">esultant </w:t>
      </w:r>
      <w:r>
        <w:rPr>
          <w:rFonts w:ascii="Calibri" w:hAnsi="Calibri" w:cs="Calibri"/>
          <w:b/>
          <w:sz w:val="22"/>
          <w:szCs w:val="22"/>
        </w:rPr>
        <w:t>U</w:t>
      </w:r>
      <w:r w:rsidRPr="00DB03CA">
        <w:rPr>
          <w:rFonts w:ascii="Calibri" w:hAnsi="Calibri" w:cs="Calibri"/>
          <w:b/>
          <w:sz w:val="22"/>
          <w:szCs w:val="22"/>
        </w:rPr>
        <w:t xml:space="preserve">pdates on </w:t>
      </w:r>
      <w:r>
        <w:rPr>
          <w:rFonts w:ascii="Calibri" w:hAnsi="Calibri" w:cs="Calibri"/>
          <w:b/>
          <w:sz w:val="22"/>
          <w:szCs w:val="22"/>
        </w:rPr>
        <w:t>O</w:t>
      </w:r>
      <w:r w:rsidRPr="00DB03CA">
        <w:rPr>
          <w:rFonts w:ascii="Calibri" w:hAnsi="Calibri" w:cs="Calibri"/>
          <w:b/>
          <w:sz w:val="22"/>
          <w:szCs w:val="22"/>
        </w:rPr>
        <w:t xml:space="preserve">rganic </w:t>
      </w:r>
      <w:r>
        <w:rPr>
          <w:rFonts w:ascii="Calibri" w:hAnsi="Calibri" w:cs="Calibri"/>
          <w:b/>
          <w:sz w:val="22"/>
          <w:szCs w:val="22"/>
        </w:rPr>
        <w:t>C</w:t>
      </w:r>
      <w:r w:rsidRPr="00DB03CA">
        <w:rPr>
          <w:rFonts w:ascii="Calibri" w:hAnsi="Calibri" w:cs="Calibri"/>
          <w:b/>
          <w:sz w:val="22"/>
          <w:szCs w:val="22"/>
        </w:rPr>
        <w:t xml:space="preserve">ompound </w:t>
      </w:r>
      <w:r>
        <w:rPr>
          <w:rFonts w:ascii="Calibri" w:hAnsi="Calibri" w:cs="Calibri"/>
          <w:b/>
          <w:sz w:val="22"/>
          <w:szCs w:val="22"/>
        </w:rPr>
        <w:t>E</w:t>
      </w:r>
      <w:r w:rsidRPr="00DB03CA">
        <w:rPr>
          <w:rFonts w:ascii="Calibri" w:hAnsi="Calibri" w:cs="Calibri"/>
          <w:b/>
          <w:sz w:val="22"/>
          <w:szCs w:val="22"/>
        </w:rPr>
        <w:t>missions</w:t>
      </w:r>
    </w:p>
    <w:p w14:paraId="20CE6869" w14:textId="77777777" w:rsidR="00DD1F8A" w:rsidRPr="00DB03CA" w:rsidRDefault="00DD1F8A" w:rsidP="00DD1F8A">
      <w:pPr>
        <w:pStyle w:val="xmsonormal"/>
        <w:shd w:val="clear" w:color="auto" w:fill="FFFFFF"/>
        <w:spacing w:before="0" w:beforeAutospacing="0" w:after="0" w:afterAutospacing="0"/>
        <w:rPr>
          <w:rFonts w:ascii="Calibri" w:hAnsi="Calibri" w:cs="Calibri"/>
          <w:sz w:val="22"/>
          <w:szCs w:val="22"/>
        </w:rPr>
      </w:pPr>
    </w:p>
    <w:p w14:paraId="29884E2D" w14:textId="5EB376C8" w:rsidR="00DD1F8A" w:rsidRPr="00DB03CA" w:rsidRDefault="00DD1F8A" w:rsidP="00DD1F8A">
      <w:pPr>
        <w:pStyle w:val="xmsonormal"/>
        <w:shd w:val="clear" w:color="auto" w:fill="FFFFFF"/>
        <w:spacing w:before="0" w:beforeAutospacing="0" w:after="0" w:afterAutospacing="0"/>
        <w:rPr>
          <w:rFonts w:ascii="Calibri" w:hAnsi="Calibri" w:cs="Calibri"/>
          <w:sz w:val="22"/>
          <w:szCs w:val="22"/>
        </w:rPr>
      </w:pPr>
      <w:r w:rsidRPr="00DB03CA">
        <w:rPr>
          <w:rFonts w:ascii="Calibri" w:hAnsi="Calibri" w:cs="Calibri"/>
        </w:rPr>
        <w:t>We</w:t>
      </w:r>
      <w:r w:rsidRPr="00DB03CA">
        <w:rPr>
          <w:rFonts w:ascii="Calibri" w:hAnsi="Calibri" w:cs="Calibri"/>
          <w:sz w:val="22"/>
          <w:szCs w:val="22"/>
        </w:rPr>
        <w:t xml:space="preserve"> will apply the most up-to-date Air Agencies emission inventory developed by UDAQ available by the time this study starts and the organic compound speciation profiles developed in </w:t>
      </w:r>
      <w:r>
        <w:rPr>
          <w:rFonts w:ascii="Calibri" w:hAnsi="Calibri" w:cs="Calibri"/>
          <w:sz w:val="22"/>
          <w:szCs w:val="22"/>
        </w:rPr>
        <w:t xml:space="preserve">the </w:t>
      </w:r>
      <w:r w:rsidRPr="00DB03CA">
        <w:rPr>
          <w:rFonts w:ascii="Calibri" w:hAnsi="Calibri" w:cs="Calibri"/>
          <w:sz w:val="22"/>
          <w:szCs w:val="22"/>
        </w:rPr>
        <w:t xml:space="preserve">UDAQ composition study to run 3D-photochemical simulations. We will compare simulated organic compound concentrations against our measurements proposed in Task 1 to examine the accuracy of </w:t>
      </w:r>
      <w:r>
        <w:rPr>
          <w:rFonts w:ascii="Calibri" w:hAnsi="Calibri" w:cs="Calibri"/>
          <w:sz w:val="22"/>
          <w:szCs w:val="22"/>
        </w:rPr>
        <w:t xml:space="preserve">the </w:t>
      </w:r>
      <w:r w:rsidRPr="00DB03CA">
        <w:rPr>
          <w:rFonts w:ascii="Calibri" w:hAnsi="Calibri" w:cs="Calibri"/>
          <w:sz w:val="22"/>
          <w:szCs w:val="22"/>
        </w:rPr>
        <w:t xml:space="preserve">oil and gas Air Agencies EI </w:t>
      </w:r>
      <w:r w:rsidRPr="00D90149">
        <w:rPr>
          <w:rFonts w:ascii="Calibri" w:hAnsi="Calibri" w:cs="Calibri"/>
          <w:noProof/>
          <w:sz w:val="22"/>
          <w:szCs w:val="22"/>
        </w:rPr>
        <w:t>with respect to</w:t>
      </w:r>
      <w:r w:rsidRPr="00DB03CA">
        <w:rPr>
          <w:rFonts w:ascii="Calibri" w:hAnsi="Calibri" w:cs="Calibri"/>
          <w:sz w:val="22"/>
          <w:szCs w:val="22"/>
        </w:rPr>
        <w:t xml:space="preserve"> organic compounds. Another test run using </w:t>
      </w:r>
      <w:r>
        <w:rPr>
          <w:rFonts w:ascii="Calibri" w:hAnsi="Calibri" w:cs="Calibri"/>
          <w:sz w:val="22"/>
          <w:szCs w:val="22"/>
        </w:rPr>
        <w:t xml:space="preserve">the </w:t>
      </w:r>
      <w:r w:rsidRPr="00DB03CA">
        <w:rPr>
          <w:rFonts w:ascii="Calibri" w:hAnsi="Calibri" w:cs="Calibri"/>
          <w:sz w:val="22"/>
          <w:szCs w:val="22"/>
        </w:rPr>
        <w:t xml:space="preserve">top-down emission inventory developed based on low-cost sensor measurements discussed in </w:t>
      </w:r>
      <w:r w:rsidR="00CD7494">
        <w:rPr>
          <w:rFonts w:ascii="Calibri" w:hAnsi="Calibri" w:cs="Calibri"/>
          <w:sz w:val="22"/>
          <w:szCs w:val="22"/>
        </w:rPr>
        <w:t>Task 1.4</w:t>
      </w:r>
      <w:r w:rsidRPr="00DB03CA">
        <w:rPr>
          <w:rFonts w:ascii="Calibri" w:hAnsi="Calibri" w:cs="Calibri"/>
          <w:sz w:val="22"/>
          <w:szCs w:val="22"/>
        </w:rPr>
        <w:t xml:space="preserve"> will be performed to </w:t>
      </w:r>
      <w:r w:rsidRPr="003F061F">
        <w:rPr>
          <w:rFonts w:ascii="Calibri" w:hAnsi="Calibri" w:cs="Calibri"/>
          <w:sz w:val="22"/>
          <w:szCs w:val="22"/>
        </w:rPr>
        <w:t>compare</w:t>
      </w:r>
      <w:r w:rsidRPr="00DB03CA">
        <w:rPr>
          <w:rFonts w:ascii="Calibri" w:hAnsi="Calibri" w:cs="Calibri"/>
          <w:sz w:val="22"/>
          <w:szCs w:val="22"/>
        </w:rPr>
        <w:t xml:space="preserve"> with the </w:t>
      </w:r>
      <w:r>
        <w:rPr>
          <w:rFonts w:ascii="Calibri" w:hAnsi="Calibri" w:cs="Calibri"/>
          <w:sz w:val="22"/>
          <w:szCs w:val="22"/>
        </w:rPr>
        <w:t xml:space="preserve">reference </w:t>
      </w:r>
      <w:r w:rsidRPr="00DB03CA">
        <w:rPr>
          <w:rFonts w:ascii="Calibri" w:hAnsi="Calibri" w:cs="Calibri"/>
          <w:sz w:val="22"/>
          <w:szCs w:val="22"/>
        </w:rPr>
        <w:t xml:space="preserve">run using </w:t>
      </w:r>
      <w:r>
        <w:rPr>
          <w:rFonts w:ascii="Calibri" w:hAnsi="Calibri" w:cs="Calibri"/>
          <w:sz w:val="22"/>
          <w:szCs w:val="22"/>
        </w:rPr>
        <w:t xml:space="preserve">the </w:t>
      </w:r>
      <w:r w:rsidRPr="00DB03CA">
        <w:rPr>
          <w:rFonts w:ascii="Calibri" w:hAnsi="Calibri" w:cs="Calibri"/>
          <w:sz w:val="22"/>
          <w:szCs w:val="22"/>
        </w:rPr>
        <w:t xml:space="preserve">Air Agencies EI. We will also utilize </w:t>
      </w:r>
      <w:r>
        <w:rPr>
          <w:rFonts w:ascii="Calibri" w:hAnsi="Calibri" w:cs="Calibri"/>
          <w:sz w:val="22"/>
          <w:szCs w:val="22"/>
        </w:rPr>
        <w:t xml:space="preserve">the </w:t>
      </w:r>
      <w:r w:rsidRPr="00DB03CA">
        <w:rPr>
          <w:rFonts w:ascii="Calibri" w:hAnsi="Calibri" w:cs="Calibri"/>
          <w:sz w:val="22"/>
          <w:szCs w:val="22"/>
        </w:rPr>
        <w:t>process analysis tool available in photochemical model</w:t>
      </w:r>
      <w:r>
        <w:rPr>
          <w:rFonts w:ascii="Calibri" w:hAnsi="Calibri" w:cs="Calibri"/>
          <w:sz w:val="22"/>
          <w:szCs w:val="22"/>
        </w:rPr>
        <w:t xml:space="preserve"> </w:t>
      </w:r>
      <w:r w:rsidR="008021AA">
        <w:rPr>
          <w:rFonts w:ascii="Calibri" w:hAnsi="Calibri" w:cs="Calibri"/>
          <w:sz w:val="22"/>
          <w:szCs w:val="22"/>
        </w:rPr>
        <w:t>platform</w:t>
      </w:r>
      <w:r w:rsidRPr="00DB03CA">
        <w:rPr>
          <w:rFonts w:ascii="Calibri" w:hAnsi="Calibri" w:cs="Calibri"/>
          <w:sz w:val="22"/>
          <w:szCs w:val="22"/>
        </w:rPr>
        <w:t xml:space="preserve"> to track the</w:t>
      </w:r>
      <w:r>
        <w:rPr>
          <w:rFonts w:ascii="Calibri" w:hAnsi="Calibri" w:cs="Calibri"/>
          <w:sz w:val="22"/>
          <w:szCs w:val="22"/>
        </w:rPr>
        <w:t xml:space="preserve"> influence of</w:t>
      </w:r>
      <w:r w:rsidRPr="00DB03CA">
        <w:rPr>
          <w:rFonts w:ascii="Calibri" w:hAnsi="Calibri" w:cs="Calibri"/>
          <w:sz w:val="22"/>
          <w:szCs w:val="22"/>
        </w:rPr>
        <w:t xml:space="preserve"> chemistry and advection processes happening within photochemical calculations</w:t>
      </w:r>
      <w:r>
        <w:rPr>
          <w:rFonts w:ascii="Calibri" w:hAnsi="Calibri" w:cs="Calibri"/>
          <w:sz w:val="22"/>
          <w:szCs w:val="22"/>
        </w:rPr>
        <w:t xml:space="preserve">. </w:t>
      </w:r>
      <w:r w:rsidRPr="00D90149">
        <w:rPr>
          <w:rFonts w:ascii="Calibri" w:hAnsi="Calibri" w:cs="Calibri"/>
          <w:noProof/>
          <w:sz w:val="22"/>
          <w:szCs w:val="22"/>
        </w:rPr>
        <w:t>This</w:t>
      </w:r>
      <w:r w:rsidRPr="00DB03CA">
        <w:rPr>
          <w:rFonts w:ascii="Calibri" w:hAnsi="Calibri" w:cs="Calibri"/>
          <w:sz w:val="22"/>
          <w:szCs w:val="22"/>
        </w:rPr>
        <w:t xml:space="preserve"> will help to identify </w:t>
      </w:r>
      <w:r>
        <w:rPr>
          <w:rFonts w:ascii="Calibri" w:hAnsi="Calibri" w:cs="Calibri"/>
          <w:sz w:val="22"/>
          <w:szCs w:val="22"/>
        </w:rPr>
        <w:t>possible</w:t>
      </w:r>
      <w:r w:rsidRPr="00DB03CA">
        <w:rPr>
          <w:rFonts w:ascii="Calibri" w:hAnsi="Calibri" w:cs="Calibri"/>
          <w:sz w:val="22"/>
          <w:szCs w:val="22"/>
        </w:rPr>
        <w:t xml:space="preserve"> reasons </w:t>
      </w:r>
      <w:r>
        <w:rPr>
          <w:rFonts w:ascii="Calibri" w:hAnsi="Calibri" w:cs="Calibri"/>
          <w:sz w:val="22"/>
          <w:szCs w:val="22"/>
        </w:rPr>
        <w:t>for</w:t>
      </w:r>
      <w:r w:rsidRPr="00DB03CA">
        <w:rPr>
          <w:rFonts w:ascii="Calibri" w:hAnsi="Calibri" w:cs="Calibri"/>
          <w:sz w:val="22"/>
          <w:szCs w:val="22"/>
        </w:rPr>
        <w:t xml:space="preserve"> failures of </w:t>
      </w:r>
      <w:r>
        <w:rPr>
          <w:rFonts w:ascii="Calibri" w:hAnsi="Calibri" w:cs="Calibri"/>
          <w:sz w:val="22"/>
          <w:szCs w:val="22"/>
        </w:rPr>
        <w:t xml:space="preserve">the </w:t>
      </w:r>
      <w:r w:rsidRPr="00DB03CA">
        <w:rPr>
          <w:rFonts w:ascii="Calibri" w:hAnsi="Calibri" w:cs="Calibri"/>
          <w:sz w:val="22"/>
          <w:szCs w:val="22"/>
        </w:rPr>
        <w:t xml:space="preserve">photochemical model in simulating elevated ozone concentrations in </w:t>
      </w:r>
      <w:r>
        <w:rPr>
          <w:rFonts w:ascii="Calibri" w:hAnsi="Calibri" w:cs="Calibri"/>
          <w:sz w:val="22"/>
          <w:szCs w:val="22"/>
        </w:rPr>
        <w:t xml:space="preserve">the </w:t>
      </w:r>
      <w:r w:rsidRPr="00DB03CA">
        <w:rPr>
          <w:rFonts w:ascii="Calibri" w:hAnsi="Calibri" w:cs="Calibri"/>
          <w:sz w:val="22"/>
          <w:szCs w:val="22"/>
        </w:rPr>
        <w:t>Uintah Basin.</w:t>
      </w:r>
    </w:p>
    <w:p w14:paraId="6D2BD981" w14:textId="77777777" w:rsidR="00DD1F8A" w:rsidRPr="00DB03CA" w:rsidRDefault="00DD1F8A" w:rsidP="00DD1F8A">
      <w:pPr>
        <w:pStyle w:val="xmsonormal"/>
        <w:shd w:val="clear" w:color="auto" w:fill="FFFFFF"/>
        <w:spacing w:before="0" w:beforeAutospacing="0" w:after="0" w:afterAutospacing="0"/>
        <w:rPr>
          <w:rFonts w:ascii="Calibri" w:hAnsi="Calibri" w:cs="Calibri"/>
          <w:sz w:val="22"/>
          <w:szCs w:val="22"/>
        </w:rPr>
      </w:pPr>
    </w:p>
    <w:p w14:paraId="46441CCE" w14:textId="77777777" w:rsidR="00DD1F8A" w:rsidRPr="00DB03CA" w:rsidRDefault="00DD1F8A" w:rsidP="00DD1F8A">
      <w:pPr>
        <w:pStyle w:val="xmsonormal"/>
        <w:shd w:val="clear" w:color="auto" w:fill="FFFFFF"/>
        <w:spacing w:before="0" w:beforeAutospacing="0" w:after="0" w:afterAutospacing="0"/>
        <w:rPr>
          <w:rFonts w:ascii="Calibri" w:hAnsi="Calibri" w:cs="Calibri"/>
          <w:sz w:val="22"/>
          <w:szCs w:val="22"/>
        </w:rPr>
      </w:pPr>
      <w:r w:rsidRPr="00DB03CA">
        <w:rPr>
          <w:rFonts w:ascii="Calibri" w:hAnsi="Calibri" w:cs="Calibri"/>
          <w:sz w:val="22"/>
          <w:szCs w:val="22"/>
        </w:rPr>
        <w:t xml:space="preserve">We will conduct sensitivity tests on organic compound emission speciation profiles. The reference run (REF) will </w:t>
      </w:r>
      <w:r w:rsidRPr="00D90149">
        <w:rPr>
          <w:rFonts w:ascii="Calibri" w:hAnsi="Calibri" w:cs="Calibri"/>
          <w:noProof/>
          <w:sz w:val="22"/>
          <w:szCs w:val="22"/>
        </w:rPr>
        <w:t>be performed</w:t>
      </w:r>
      <w:r w:rsidRPr="00DB03CA">
        <w:rPr>
          <w:rFonts w:ascii="Calibri" w:hAnsi="Calibri" w:cs="Calibri"/>
          <w:sz w:val="22"/>
          <w:szCs w:val="22"/>
        </w:rPr>
        <w:t xml:space="preserve"> with </w:t>
      </w:r>
      <w:r>
        <w:rPr>
          <w:rFonts w:ascii="Calibri" w:hAnsi="Calibri" w:cs="Calibri"/>
          <w:sz w:val="22"/>
          <w:szCs w:val="22"/>
        </w:rPr>
        <w:t xml:space="preserve">the </w:t>
      </w:r>
      <w:r w:rsidRPr="00DB03CA">
        <w:rPr>
          <w:rFonts w:ascii="Calibri" w:hAnsi="Calibri" w:cs="Calibri"/>
          <w:sz w:val="22"/>
          <w:szCs w:val="22"/>
        </w:rPr>
        <w:t xml:space="preserve">Air Agencies emission inventory and the organic compound speciation profiles developed in </w:t>
      </w:r>
      <w:r>
        <w:rPr>
          <w:rFonts w:ascii="Calibri" w:hAnsi="Calibri" w:cs="Calibri"/>
          <w:sz w:val="22"/>
          <w:szCs w:val="22"/>
        </w:rPr>
        <w:t xml:space="preserve">the </w:t>
      </w:r>
      <w:r w:rsidRPr="00DB03CA">
        <w:rPr>
          <w:rFonts w:ascii="Calibri" w:hAnsi="Calibri" w:cs="Calibri"/>
          <w:sz w:val="22"/>
          <w:szCs w:val="22"/>
        </w:rPr>
        <w:t xml:space="preserve">UDAQ composition study; while the test runs (TEST; number of tests to be determined based on the results of Task 1 and 2) will be performed using the same EI but speciation profiles databased developed </w:t>
      </w:r>
      <w:r>
        <w:rPr>
          <w:rFonts w:ascii="Calibri" w:hAnsi="Calibri" w:cs="Calibri"/>
          <w:sz w:val="22"/>
          <w:szCs w:val="22"/>
        </w:rPr>
        <w:t>in</w:t>
      </w:r>
      <w:r w:rsidRPr="00DB03CA">
        <w:rPr>
          <w:rFonts w:ascii="Calibri" w:hAnsi="Calibri" w:cs="Calibri"/>
          <w:sz w:val="22"/>
          <w:szCs w:val="22"/>
        </w:rPr>
        <w:t xml:space="preserve"> Task 1 and 2. We will compare the results of those runs against measurements to examine how newly developed organic compound emission speciation profiles impact simulated ozone and organic compound concentrations.</w:t>
      </w:r>
    </w:p>
    <w:p w14:paraId="3E11D6E3" w14:textId="0850440B"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 xml:space="preserve">Emission data will </w:t>
      </w:r>
      <w:r w:rsidRPr="00D90149">
        <w:rPr>
          <w:rFonts w:ascii="Calibri" w:hAnsi="Calibri" w:cs="Calibri"/>
          <w:noProof/>
          <w:sz w:val="22"/>
          <w:szCs w:val="22"/>
        </w:rPr>
        <w:t>be processed</w:t>
      </w:r>
      <w:r w:rsidRPr="00DB03CA">
        <w:rPr>
          <w:rFonts w:ascii="Calibri" w:hAnsi="Calibri" w:cs="Calibri"/>
          <w:sz w:val="22"/>
          <w:szCs w:val="22"/>
        </w:rPr>
        <w:t xml:space="preserve"> by </w:t>
      </w:r>
      <w:r>
        <w:rPr>
          <w:rFonts w:ascii="Calibri" w:hAnsi="Calibri" w:cs="Calibri"/>
          <w:sz w:val="22"/>
          <w:szCs w:val="22"/>
        </w:rPr>
        <w:t xml:space="preserve">the </w:t>
      </w:r>
      <w:r w:rsidRPr="00DB03CA">
        <w:rPr>
          <w:rFonts w:ascii="Calibri" w:hAnsi="Calibri" w:cs="Calibri"/>
          <w:sz w:val="22"/>
          <w:szCs w:val="22"/>
        </w:rPr>
        <w:t>Sparse Matrix Operator Kernel Emissions</w:t>
      </w:r>
      <w:r w:rsidRPr="00DB03CA" w:rsidDel="005A2130">
        <w:rPr>
          <w:rFonts w:ascii="Calibri" w:hAnsi="Calibri" w:cs="Calibri"/>
          <w:sz w:val="22"/>
          <w:szCs w:val="22"/>
        </w:rPr>
        <w:t xml:space="preserve"> </w:t>
      </w:r>
      <w:r w:rsidRPr="00DB03CA">
        <w:rPr>
          <w:rFonts w:ascii="Calibri" w:hAnsi="Calibri" w:cs="Calibri"/>
          <w:sz w:val="22"/>
          <w:szCs w:val="22"/>
        </w:rPr>
        <w:t xml:space="preserve">(SMOKE) model. Meteorological quantities will </w:t>
      </w:r>
      <w:r w:rsidRPr="00D90149">
        <w:rPr>
          <w:rFonts w:ascii="Calibri" w:hAnsi="Calibri" w:cs="Calibri"/>
          <w:noProof/>
          <w:sz w:val="22"/>
          <w:szCs w:val="22"/>
        </w:rPr>
        <w:t>be produced</w:t>
      </w:r>
      <w:r w:rsidRPr="00DB03CA">
        <w:rPr>
          <w:rFonts w:ascii="Calibri" w:hAnsi="Calibri" w:cs="Calibri"/>
          <w:sz w:val="22"/>
          <w:szCs w:val="22"/>
        </w:rPr>
        <w:t xml:space="preserve"> </w:t>
      </w:r>
      <w:r>
        <w:rPr>
          <w:rFonts w:ascii="Calibri" w:hAnsi="Calibri" w:cs="Calibri"/>
          <w:sz w:val="22"/>
          <w:szCs w:val="22"/>
        </w:rPr>
        <w:t xml:space="preserve">with the </w:t>
      </w:r>
      <w:r w:rsidRPr="00DB03CA">
        <w:rPr>
          <w:rFonts w:ascii="Calibri" w:hAnsi="Calibri" w:cs="Calibri"/>
          <w:sz w:val="22"/>
          <w:szCs w:val="22"/>
        </w:rPr>
        <w:t xml:space="preserve">Weather Research and Forecasting (WRF) model with all </w:t>
      </w:r>
      <w:r>
        <w:rPr>
          <w:rFonts w:ascii="Calibri" w:hAnsi="Calibri" w:cs="Calibri"/>
          <w:sz w:val="22"/>
          <w:szCs w:val="22"/>
        </w:rPr>
        <w:t xml:space="preserve">relevant </w:t>
      </w:r>
      <w:r w:rsidRPr="00DB03CA">
        <w:rPr>
          <w:rFonts w:ascii="Calibri" w:hAnsi="Calibri" w:cs="Calibri"/>
          <w:sz w:val="22"/>
          <w:szCs w:val="22"/>
        </w:rPr>
        <w:t xml:space="preserve">modifications </w:t>
      </w:r>
      <w:r>
        <w:rPr>
          <w:rFonts w:ascii="Calibri" w:hAnsi="Calibri" w:cs="Calibri"/>
          <w:sz w:val="22"/>
          <w:szCs w:val="22"/>
        </w:rPr>
        <w:t>made</w:t>
      </w:r>
      <w:r w:rsidRPr="00DB03CA">
        <w:rPr>
          <w:rFonts w:ascii="Calibri" w:hAnsi="Calibri" w:cs="Calibri"/>
          <w:sz w:val="22"/>
          <w:szCs w:val="22"/>
        </w:rPr>
        <w:t xml:space="preserve"> </w:t>
      </w:r>
      <w:r>
        <w:rPr>
          <w:rFonts w:ascii="Calibri" w:hAnsi="Calibri" w:cs="Calibri"/>
          <w:sz w:val="22"/>
          <w:szCs w:val="22"/>
        </w:rPr>
        <w:t>to improve</w:t>
      </w:r>
      <w:r w:rsidRPr="00DB03CA">
        <w:rPr>
          <w:rFonts w:ascii="Calibri" w:hAnsi="Calibri" w:cs="Calibri"/>
          <w:sz w:val="22"/>
          <w:szCs w:val="22"/>
        </w:rPr>
        <w:t xml:space="preserve"> model performance in simulating inversion conditions in </w:t>
      </w:r>
      <w:r>
        <w:rPr>
          <w:rFonts w:ascii="Calibri" w:hAnsi="Calibri" w:cs="Calibri"/>
          <w:sz w:val="22"/>
          <w:szCs w:val="22"/>
        </w:rPr>
        <w:t xml:space="preserve">the </w:t>
      </w:r>
      <w:r w:rsidRPr="00DB03CA">
        <w:rPr>
          <w:rFonts w:ascii="Calibri" w:hAnsi="Calibri" w:cs="Calibri"/>
          <w:sz w:val="22"/>
          <w:szCs w:val="22"/>
        </w:rPr>
        <w:t>Uintah Basin. These modifications incl</w:t>
      </w:r>
      <w:r>
        <w:rPr>
          <w:rFonts w:ascii="Calibri" w:hAnsi="Calibri" w:cs="Calibri"/>
          <w:sz w:val="22"/>
          <w:szCs w:val="22"/>
        </w:rPr>
        <w:t>ude</w:t>
      </w:r>
      <w:r w:rsidRPr="00DB03CA">
        <w:rPr>
          <w:rFonts w:ascii="Calibri" w:hAnsi="Calibri" w:cs="Calibri"/>
          <w:sz w:val="22"/>
          <w:szCs w:val="22"/>
        </w:rPr>
        <w:t xml:space="preserve"> surface snow/albedo fix (</w:t>
      </w:r>
      <w:proofErr w:type="spellStart"/>
      <w:r w:rsidRPr="00DB03CA">
        <w:rPr>
          <w:rFonts w:ascii="Calibri" w:hAnsi="Calibri" w:cs="Calibri"/>
          <w:sz w:val="22"/>
          <w:szCs w:val="22"/>
        </w:rPr>
        <w:t>Neeman</w:t>
      </w:r>
      <w:proofErr w:type="spellEnd"/>
      <w:r w:rsidRPr="00DB03CA">
        <w:rPr>
          <w:rFonts w:ascii="Calibri" w:hAnsi="Calibri" w:cs="Calibri"/>
          <w:sz w:val="22"/>
          <w:szCs w:val="22"/>
        </w:rPr>
        <w:t xml:space="preserve"> et al., 2015) and nudging with surface and vertical meteorological profiles (Tran et al., 2018; Lyman et al., 2018)</w:t>
      </w:r>
      <w:r>
        <w:rPr>
          <w:rFonts w:ascii="Calibri" w:hAnsi="Calibri" w:cs="Calibri"/>
          <w:sz w:val="22"/>
          <w:szCs w:val="22"/>
        </w:rPr>
        <w:t>,</w:t>
      </w:r>
      <w:r w:rsidRPr="00DB03CA">
        <w:rPr>
          <w:rFonts w:ascii="Calibri" w:hAnsi="Calibri" w:cs="Calibri"/>
          <w:sz w:val="22"/>
          <w:szCs w:val="22"/>
        </w:rPr>
        <w:t xml:space="preserve"> </w:t>
      </w:r>
      <w:r>
        <w:rPr>
          <w:rFonts w:ascii="Calibri" w:hAnsi="Calibri" w:cs="Calibri"/>
          <w:sz w:val="22"/>
          <w:szCs w:val="22"/>
        </w:rPr>
        <w:t xml:space="preserve">which </w:t>
      </w:r>
      <w:r w:rsidRPr="00DB03CA">
        <w:rPr>
          <w:rFonts w:ascii="Calibri" w:hAnsi="Calibri" w:cs="Calibri"/>
          <w:sz w:val="22"/>
          <w:szCs w:val="22"/>
        </w:rPr>
        <w:lastRenderedPageBreak/>
        <w:t xml:space="preserve">were </w:t>
      </w:r>
      <w:r>
        <w:rPr>
          <w:rFonts w:ascii="Calibri" w:hAnsi="Calibri" w:cs="Calibri"/>
          <w:sz w:val="22"/>
          <w:szCs w:val="22"/>
        </w:rPr>
        <w:t>proved</w:t>
      </w:r>
      <w:r w:rsidRPr="00DB03CA">
        <w:rPr>
          <w:rFonts w:ascii="Calibri" w:hAnsi="Calibri" w:cs="Calibri"/>
          <w:sz w:val="22"/>
          <w:szCs w:val="22"/>
        </w:rPr>
        <w:t xml:space="preserve"> to improve WRF performance in simulating various aspects of </w:t>
      </w:r>
      <w:r>
        <w:rPr>
          <w:rFonts w:ascii="Calibri" w:hAnsi="Calibri" w:cs="Calibri"/>
          <w:sz w:val="22"/>
          <w:szCs w:val="22"/>
        </w:rPr>
        <w:t xml:space="preserve">the </w:t>
      </w:r>
      <w:r w:rsidRPr="00DB03CA">
        <w:rPr>
          <w:rFonts w:ascii="Calibri" w:hAnsi="Calibri" w:cs="Calibri"/>
          <w:sz w:val="22"/>
          <w:szCs w:val="22"/>
        </w:rPr>
        <w:t xml:space="preserve">inversion layer that affect ozone concentration distributions in </w:t>
      </w:r>
      <w:r>
        <w:rPr>
          <w:rFonts w:ascii="Calibri" w:hAnsi="Calibri" w:cs="Calibri"/>
          <w:sz w:val="22"/>
          <w:szCs w:val="22"/>
        </w:rPr>
        <w:t xml:space="preserve">the </w:t>
      </w:r>
      <w:r w:rsidRPr="00DB03CA">
        <w:rPr>
          <w:rFonts w:ascii="Calibri" w:hAnsi="Calibri" w:cs="Calibri"/>
          <w:sz w:val="22"/>
          <w:szCs w:val="22"/>
        </w:rPr>
        <w:t xml:space="preserve">Uintah Basin. </w:t>
      </w:r>
      <w:r>
        <w:rPr>
          <w:rFonts w:ascii="Calibri" w:hAnsi="Calibri" w:cs="Calibri"/>
          <w:sz w:val="22"/>
          <w:szCs w:val="22"/>
        </w:rPr>
        <w:t xml:space="preserve">A </w:t>
      </w:r>
      <w:r w:rsidRPr="00DB03CA">
        <w:rPr>
          <w:rFonts w:ascii="Calibri" w:hAnsi="Calibri" w:cs="Calibri"/>
          <w:sz w:val="22"/>
          <w:szCs w:val="22"/>
        </w:rPr>
        <w:t>BRC drone project will provide vertical profiles for conducting nudging in WRF</w:t>
      </w:r>
      <w:r>
        <w:rPr>
          <w:rFonts w:ascii="Calibri" w:hAnsi="Calibri" w:cs="Calibri"/>
          <w:sz w:val="22"/>
          <w:szCs w:val="22"/>
        </w:rPr>
        <w:t xml:space="preserve"> simulations</w:t>
      </w:r>
      <w:r w:rsidRPr="00DB03CA">
        <w:rPr>
          <w:rFonts w:ascii="Calibri" w:hAnsi="Calibri" w:cs="Calibri"/>
          <w:sz w:val="22"/>
          <w:szCs w:val="22"/>
        </w:rPr>
        <w:t>. WRF model domain setups w</w:t>
      </w:r>
      <w:r>
        <w:rPr>
          <w:rFonts w:ascii="Calibri" w:hAnsi="Calibri" w:cs="Calibri"/>
          <w:sz w:val="22"/>
          <w:szCs w:val="22"/>
        </w:rPr>
        <w:t>ill be</w:t>
      </w:r>
      <w:r w:rsidRPr="00DB03CA">
        <w:rPr>
          <w:rFonts w:ascii="Calibri" w:hAnsi="Calibri" w:cs="Calibri"/>
          <w:sz w:val="22"/>
          <w:szCs w:val="22"/>
        </w:rPr>
        <w:t xml:space="preserve"> kept identically with setups</w:t>
      </w:r>
      <w:r>
        <w:rPr>
          <w:rFonts w:ascii="Calibri" w:hAnsi="Calibri" w:cs="Calibri"/>
          <w:sz w:val="22"/>
          <w:szCs w:val="22"/>
        </w:rPr>
        <w:t xml:space="preserve"> used by</w:t>
      </w:r>
      <w:r w:rsidRPr="00DB03CA">
        <w:rPr>
          <w:rFonts w:ascii="Calibri" w:hAnsi="Calibri" w:cs="Calibri"/>
          <w:sz w:val="22"/>
          <w:szCs w:val="22"/>
        </w:rPr>
        <w:t xml:space="preserve"> Tran et al. (2018): a one-way triple-nested domain at grid-spacing resolutions of 12, 4, and 1.3 km with 41 vertical layers extending from the surface to 14 km above ground. Only meteorological fields from</w:t>
      </w:r>
      <w:r>
        <w:rPr>
          <w:rFonts w:ascii="Calibri" w:hAnsi="Calibri" w:cs="Calibri"/>
          <w:sz w:val="22"/>
          <w:szCs w:val="22"/>
        </w:rPr>
        <w:t xml:space="preserve"> the</w:t>
      </w:r>
      <w:r w:rsidRPr="00DB03CA">
        <w:rPr>
          <w:rFonts w:ascii="Calibri" w:hAnsi="Calibri" w:cs="Calibri"/>
          <w:sz w:val="22"/>
          <w:szCs w:val="22"/>
        </w:rPr>
        <w:t xml:space="preserve"> 1.3km domain </w:t>
      </w:r>
      <w:r>
        <w:rPr>
          <w:rFonts w:ascii="Calibri" w:hAnsi="Calibri" w:cs="Calibri"/>
          <w:sz w:val="22"/>
          <w:szCs w:val="22"/>
        </w:rPr>
        <w:t xml:space="preserve">will </w:t>
      </w:r>
      <w:r w:rsidRPr="00D90149">
        <w:rPr>
          <w:rFonts w:ascii="Calibri" w:hAnsi="Calibri" w:cs="Calibri"/>
          <w:noProof/>
          <w:sz w:val="22"/>
          <w:szCs w:val="22"/>
        </w:rPr>
        <w:t>be used</w:t>
      </w:r>
      <w:r w:rsidRPr="00DB03CA">
        <w:rPr>
          <w:rFonts w:ascii="Calibri" w:hAnsi="Calibri" w:cs="Calibri"/>
          <w:sz w:val="22"/>
          <w:szCs w:val="22"/>
        </w:rPr>
        <w:t xml:space="preserve"> for photochemical simulations. </w:t>
      </w:r>
      <w:r>
        <w:rPr>
          <w:rFonts w:ascii="Calibri" w:hAnsi="Calibri" w:cs="Calibri"/>
          <w:sz w:val="22"/>
          <w:szCs w:val="22"/>
        </w:rPr>
        <w:t>The C</w:t>
      </w:r>
      <w:r w:rsidRPr="00DB03CA">
        <w:rPr>
          <w:rFonts w:ascii="Calibri" w:hAnsi="Calibri" w:cs="Calibri"/>
          <w:sz w:val="22"/>
          <w:szCs w:val="22"/>
        </w:rPr>
        <w:t>omprehensive Air Quality Model with Extensions (</w:t>
      </w:r>
      <w:proofErr w:type="spellStart"/>
      <w:r w:rsidRPr="00DB03CA">
        <w:rPr>
          <w:rFonts w:ascii="Calibri" w:hAnsi="Calibri" w:cs="Calibri"/>
          <w:sz w:val="22"/>
          <w:szCs w:val="22"/>
        </w:rPr>
        <w:t>CAMx</w:t>
      </w:r>
      <w:proofErr w:type="spellEnd"/>
      <w:r w:rsidRPr="00DB03CA">
        <w:rPr>
          <w:rFonts w:ascii="Calibri" w:hAnsi="Calibri" w:cs="Calibri"/>
          <w:sz w:val="22"/>
          <w:szCs w:val="22"/>
        </w:rPr>
        <w:t xml:space="preserve">) will </w:t>
      </w:r>
      <w:r w:rsidRPr="00D90149">
        <w:rPr>
          <w:rFonts w:ascii="Calibri" w:hAnsi="Calibri" w:cs="Calibri"/>
          <w:noProof/>
          <w:sz w:val="22"/>
          <w:szCs w:val="22"/>
        </w:rPr>
        <w:t>be used</w:t>
      </w:r>
      <w:r w:rsidRPr="00DB03CA">
        <w:rPr>
          <w:rFonts w:ascii="Calibri" w:hAnsi="Calibri" w:cs="Calibri"/>
          <w:sz w:val="22"/>
          <w:szCs w:val="22"/>
        </w:rPr>
        <w:t xml:space="preserve"> as </w:t>
      </w:r>
      <w:r>
        <w:rPr>
          <w:rFonts w:ascii="Calibri" w:hAnsi="Calibri" w:cs="Calibri"/>
          <w:sz w:val="22"/>
          <w:szCs w:val="22"/>
        </w:rPr>
        <w:t xml:space="preserve">the </w:t>
      </w:r>
      <w:r w:rsidRPr="00DB03CA">
        <w:rPr>
          <w:rFonts w:ascii="Calibri" w:hAnsi="Calibri" w:cs="Calibri"/>
          <w:sz w:val="22"/>
          <w:szCs w:val="22"/>
        </w:rPr>
        <w:t>photochemical model</w:t>
      </w:r>
      <w:r>
        <w:rPr>
          <w:rFonts w:ascii="Calibri" w:hAnsi="Calibri" w:cs="Calibri"/>
          <w:sz w:val="22"/>
          <w:szCs w:val="22"/>
        </w:rPr>
        <w:t xml:space="preserve"> for this study</w:t>
      </w:r>
      <w:r w:rsidRPr="00DB03CA">
        <w:rPr>
          <w:rFonts w:ascii="Calibri" w:hAnsi="Calibri" w:cs="Calibri"/>
          <w:sz w:val="22"/>
          <w:szCs w:val="22"/>
        </w:rPr>
        <w:t xml:space="preserve">. We will apply specific updates made to </w:t>
      </w:r>
      <w:proofErr w:type="spellStart"/>
      <w:r w:rsidRPr="00DB03CA">
        <w:rPr>
          <w:rFonts w:ascii="Calibri" w:hAnsi="Calibri" w:cs="Calibri"/>
          <w:sz w:val="22"/>
          <w:szCs w:val="22"/>
        </w:rPr>
        <w:t>CAMx</w:t>
      </w:r>
      <w:proofErr w:type="spellEnd"/>
      <w:r w:rsidRPr="00DB03CA">
        <w:rPr>
          <w:rFonts w:ascii="Calibri" w:hAnsi="Calibri" w:cs="Calibri"/>
          <w:sz w:val="22"/>
          <w:szCs w:val="22"/>
        </w:rPr>
        <w:t xml:space="preserve"> to better represent Uintah Basin winter conditions following Emery et al. (2015).  </w:t>
      </w:r>
      <w:r>
        <w:rPr>
          <w:rFonts w:ascii="Calibri" w:hAnsi="Calibri" w:cs="Calibri"/>
          <w:sz w:val="22"/>
          <w:szCs w:val="22"/>
        </w:rPr>
        <w:t>The l</w:t>
      </w:r>
      <w:r w:rsidRPr="00DB03CA">
        <w:rPr>
          <w:rFonts w:ascii="Calibri" w:hAnsi="Calibri" w:cs="Calibri"/>
          <w:sz w:val="22"/>
          <w:szCs w:val="22"/>
        </w:rPr>
        <w:t xml:space="preserve">atest versions of all model platforms that are available by the time this study starts will be chosen to perform photochemical simulations.  </w:t>
      </w:r>
    </w:p>
    <w:p w14:paraId="4D6DAA51" w14:textId="2D8142B4" w:rsidR="00DD1F8A" w:rsidRPr="00EF4C0C" w:rsidRDefault="00DD1F8A" w:rsidP="00DD1F8A">
      <w:pPr>
        <w:pStyle w:val="xmsonormal"/>
        <w:shd w:val="clear" w:color="auto" w:fill="FFFFFF"/>
        <w:spacing w:before="0" w:beforeAutospacing="0" w:after="0" w:afterAutospacing="0"/>
        <w:rPr>
          <w:rFonts w:ascii="Calibri" w:hAnsi="Calibri" w:cs="Calibri"/>
          <w:color w:val="00B0F0"/>
          <w:sz w:val="22"/>
          <w:szCs w:val="22"/>
        </w:rPr>
      </w:pPr>
      <w:r w:rsidRPr="00C429F1">
        <w:rPr>
          <w:rFonts w:ascii="Calibri" w:hAnsi="Calibri" w:cs="Calibri"/>
          <w:sz w:val="22"/>
          <w:szCs w:val="22"/>
        </w:rPr>
        <w:t>WRF-</w:t>
      </w:r>
      <w:proofErr w:type="spellStart"/>
      <w:r w:rsidRPr="00C429F1">
        <w:rPr>
          <w:rFonts w:ascii="Calibri" w:hAnsi="Calibri" w:cs="Calibri"/>
          <w:sz w:val="22"/>
          <w:szCs w:val="22"/>
        </w:rPr>
        <w:t>CAMx</w:t>
      </w:r>
      <w:proofErr w:type="spellEnd"/>
      <w:r w:rsidRPr="00C429F1">
        <w:rPr>
          <w:rFonts w:ascii="Calibri" w:hAnsi="Calibri" w:cs="Calibri"/>
          <w:sz w:val="22"/>
          <w:szCs w:val="22"/>
        </w:rPr>
        <w:t xml:space="preserve"> simulations will be performed for two to three months of winter 2019-2020 to cover the periods when Task 1 </w:t>
      </w:r>
      <w:r>
        <w:rPr>
          <w:rFonts w:ascii="Calibri" w:hAnsi="Calibri" w:cs="Calibri"/>
          <w:sz w:val="22"/>
          <w:szCs w:val="22"/>
        </w:rPr>
        <w:t xml:space="preserve">measurements </w:t>
      </w:r>
      <w:r w:rsidRPr="00D90149">
        <w:rPr>
          <w:rFonts w:ascii="Calibri" w:hAnsi="Calibri" w:cs="Calibri"/>
          <w:noProof/>
          <w:sz w:val="22"/>
          <w:szCs w:val="22"/>
        </w:rPr>
        <w:t>are</w:t>
      </w:r>
      <w:r w:rsidRPr="00C429F1">
        <w:rPr>
          <w:rFonts w:ascii="Calibri" w:hAnsi="Calibri" w:cs="Calibri"/>
          <w:noProof/>
          <w:sz w:val="22"/>
          <w:szCs w:val="22"/>
        </w:rPr>
        <w:t xml:space="preserve"> conducted</w:t>
      </w:r>
      <w:r w:rsidRPr="00C429F1">
        <w:rPr>
          <w:rFonts w:ascii="Calibri" w:hAnsi="Calibri" w:cs="Calibri"/>
          <w:sz w:val="22"/>
          <w:szCs w:val="22"/>
        </w:rPr>
        <w:t xml:space="preserve">. </w:t>
      </w:r>
    </w:p>
    <w:p w14:paraId="032BB5D4" w14:textId="77777777" w:rsidR="00DD1F8A" w:rsidRDefault="00DD1F8A" w:rsidP="00DD1F8A">
      <w:pPr>
        <w:pStyle w:val="xmsonormal"/>
        <w:shd w:val="clear" w:color="auto" w:fill="FFFFFF"/>
        <w:spacing w:before="0" w:beforeAutospacing="0" w:after="0" w:afterAutospacing="0"/>
        <w:rPr>
          <w:rFonts w:ascii="Calibri" w:hAnsi="Calibri" w:cs="Calibri"/>
          <w:color w:val="00B0F0"/>
          <w:sz w:val="22"/>
          <w:szCs w:val="22"/>
        </w:rPr>
      </w:pPr>
    </w:p>
    <w:p w14:paraId="3EEB35AC" w14:textId="77777777" w:rsidR="00DD1F8A" w:rsidRPr="00DB03CA" w:rsidRDefault="00DD1F8A" w:rsidP="00DD1F8A">
      <w:pPr>
        <w:pStyle w:val="xmsonormal"/>
        <w:shd w:val="clear" w:color="auto" w:fill="FFFFFF"/>
        <w:spacing w:before="0" w:beforeAutospacing="0" w:after="0" w:afterAutospacing="0"/>
        <w:rPr>
          <w:rFonts w:ascii="Calibri" w:hAnsi="Calibri" w:cs="Calibri"/>
          <w:b/>
          <w:sz w:val="22"/>
          <w:szCs w:val="22"/>
        </w:rPr>
      </w:pPr>
      <w:r w:rsidRPr="00DB03CA">
        <w:rPr>
          <w:rFonts w:ascii="Calibri" w:hAnsi="Calibri" w:cs="Calibri"/>
          <w:b/>
          <w:sz w:val="22"/>
          <w:szCs w:val="22"/>
        </w:rPr>
        <w:t>References</w:t>
      </w:r>
    </w:p>
    <w:p w14:paraId="6076CF0B" w14:textId="77777777" w:rsidR="00DD1F8A" w:rsidRPr="00DB03CA" w:rsidRDefault="00DD1F8A" w:rsidP="00DD1F8A">
      <w:pPr>
        <w:pStyle w:val="xmsonormal"/>
        <w:shd w:val="clear" w:color="auto" w:fill="FFFFFF"/>
        <w:spacing w:after="0"/>
        <w:rPr>
          <w:rFonts w:ascii="Calibri" w:hAnsi="Calibri" w:cs="Calibri"/>
          <w:sz w:val="22"/>
          <w:szCs w:val="22"/>
        </w:rPr>
      </w:pPr>
      <w:proofErr w:type="spellStart"/>
      <w:r w:rsidRPr="00DB03CA">
        <w:rPr>
          <w:rFonts w:ascii="Calibri" w:hAnsi="Calibri" w:cs="Calibri"/>
          <w:sz w:val="22"/>
          <w:szCs w:val="22"/>
        </w:rPr>
        <w:t>Abeleira</w:t>
      </w:r>
      <w:proofErr w:type="spellEnd"/>
      <w:r w:rsidRPr="00DB03CA">
        <w:rPr>
          <w:rFonts w:ascii="Calibri" w:hAnsi="Calibri" w:cs="Calibri"/>
          <w:sz w:val="22"/>
          <w:szCs w:val="22"/>
        </w:rPr>
        <w:t xml:space="preserve">, A., I. B. Pollack, B. </w:t>
      </w:r>
      <w:proofErr w:type="spellStart"/>
      <w:r w:rsidRPr="00DB03CA">
        <w:rPr>
          <w:rFonts w:ascii="Calibri" w:hAnsi="Calibri" w:cs="Calibri"/>
          <w:sz w:val="22"/>
          <w:szCs w:val="22"/>
        </w:rPr>
        <w:t>Sive</w:t>
      </w:r>
      <w:proofErr w:type="spellEnd"/>
      <w:r w:rsidRPr="00DB03CA">
        <w:rPr>
          <w:rFonts w:ascii="Calibri" w:hAnsi="Calibri" w:cs="Calibri"/>
          <w:sz w:val="22"/>
          <w:szCs w:val="22"/>
        </w:rPr>
        <w:t xml:space="preserve">, Y. Zhou, E. V. Fischer, and D. K. Farmer (2017), Source characterization of volatile organic compounds in the Colorado Northern Front Range Metropolitan Area during spring and summer 2015, J. </w:t>
      </w:r>
      <w:proofErr w:type="spellStart"/>
      <w:r w:rsidRPr="00DB03CA">
        <w:rPr>
          <w:rFonts w:ascii="Calibri" w:hAnsi="Calibri" w:cs="Calibri"/>
          <w:sz w:val="22"/>
          <w:szCs w:val="22"/>
        </w:rPr>
        <w:t>Geophys</w:t>
      </w:r>
      <w:proofErr w:type="spellEnd"/>
      <w:r w:rsidRPr="00DB03CA">
        <w:rPr>
          <w:rFonts w:ascii="Calibri" w:hAnsi="Calibri" w:cs="Calibri"/>
          <w:sz w:val="22"/>
          <w:szCs w:val="22"/>
        </w:rPr>
        <w:t xml:space="preserve">. Res. Atmos., 122, 3595–3613, </w:t>
      </w:r>
      <w:r w:rsidRPr="00D90149">
        <w:rPr>
          <w:rFonts w:ascii="Calibri" w:hAnsi="Calibri" w:cs="Calibri"/>
          <w:noProof/>
          <w:sz w:val="22"/>
          <w:szCs w:val="22"/>
        </w:rPr>
        <w:t>doi</w:t>
      </w:r>
      <w:proofErr w:type="gramStart"/>
      <w:r w:rsidRPr="00DB03CA">
        <w:rPr>
          <w:rFonts w:ascii="Calibri" w:hAnsi="Calibri" w:cs="Calibri"/>
          <w:sz w:val="22"/>
          <w:szCs w:val="22"/>
        </w:rPr>
        <w:t>:10.1002</w:t>
      </w:r>
      <w:proofErr w:type="gramEnd"/>
      <w:r w:rsidRPr="00DB03CA">
        <w:rPr>
          <w:rFonts w:ascii="Calibri" w:hAnsi="Calibri" w:cs="Calibri"/>
          <w:sz w:val="22"/>
          <w:szCs w:val="22"/>
        </w:rPr>
        <w:t xml:space="preserve">/2016JD026227. </w:t>
      </w:r>
    </w:p>
    <w:p w14:paraId="48F1B562" w14:textId="77777777"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 xml:space="preserve">Ahmadov, R., McKeen, S., Trainer, M., Banta, R., Brewer, A., Brown, S., Edwards, P.M., de Gouw, J.A., Frost, G.J., Gilman, J., </w:t>
      </w:r>
      <w:proofErr w:type="spellStart"/>
      <w:r w:rsidRPr="00DB03CA">
        <w:rPr>
          <w:rFonts w:ascii="Calibri" w:hAnsi="Calibri" w:cs="Calibri"/>
          <w:sz w:val="22"/>
          <w:szCs w:val="22"/>
        </w:rPr>
        <w:t>Helmig</w:t>
      </w:r>
      <w:proofErr w:type="spellEnd"/>
      <w:r w:rsidRPr="00DB03CA">
        <w:rPr>
          <w:rFonts w:ascii="Calibri" w:hAnsi="Calibri" w:cs="Calibri"/>
          <w:sz w:val="22"/>
          <w:szCs w:val="22"/>
        </w:rPr>
        <w:t xml:space="preserve">, D., Johnson, B., </w:t>
      </w:r>
      <w:proofErr w:type="spellStart"/>
      <w:r w:rsidRPr="00DB03CA">
        <w:rPr>
          <w:rFonts w:ascii="Calibri" w:hAnsi="Calibri" w:cs="Calibri"/>
          <w:sz w:val="22"/>
          <w:szCs w:val="22"/>
        </w:rPr>
        <w:t>Karion</w:t>
      </w:r>
      <w:proofErr w:type="spellEnd"/>
      <w:r w:rsidRPr="00DB03CA">
        <w:rPr>
          <w:rFonts w:ascii="Calibri" w:hAnsi="Calibri" w:cs="Calibri"/>
          <w:sz w:val="22"/>
          <w:szCs w:val="22"/>
        </w:rPr>
        <w:t xml:space="preserve">, A., Koss, A., Langford, A., Lerner, B., Olson, J., </w:t>
      </w:r>
      <w:proofErr w:type="spellStart"/>
      <w:r w:rsidRPr="00DB03CA">
        <w:rPr>
          <w:rFonts w:ascii="Calibri" w:hAnsi="Calibri" w:cs="Calibri"/>
          <w:sz w:val="22"/>
          <w:szCs w:val="22"/>
        </w:rPr>
        <w:t>Oltmans</w:t>
      </w:r>
      <w:proofErr w:type="spellEnd"/>
      <w:r w:rsidRPr="00DB03CA">
        <w:rPr>
          <w:rFonts w:ascii="Calibri" w:hAnsi="Calibri" w:cs="Calibri"/>
          <w:sz w:val="22"/>
          <w:szCs w:val="22"/>
        </w:rPr>
        <w:t xml:space="preserve">, S., </w:t>
      </w:r>
      <w:proofErr w:type="spellStart"/>
      <w:r w:rsidRPr="00DB03CA">
        <w:rPr>
          <w:rFonts w:ascii="Calibri" w:hAnsi="Calibri" w:cs="Calibri"/>
          <w:sz w:val="22"/>
          <w:szCs w:val="22"/>
        </w:rPr>
        <w:t>Peischl</w:t>
      </w:r>
      <w:proofErr w:type="spellEnd"/>
      <w:r w:rsidRPr="00DB03CA">
        <w:rPr>
          <w:rFonts w:ascii="Calibri" w:hAnsi="Calibri" w:cs="Calibri"/>
          <w:sz w:val="22"/>
          <w:szCs w:val="22"/>
        </w:rPr>
        <w:t xml:space="preserve">, J., Petron, G., </w:t>
      </w:r>
      <w:proofErr w:type="spellStart"/>
      <w:r w:rsidRPr="00DB03CA">
        <w:rPr>
          <w:rFonts w:ascii="Calibri" w:hAnsi="Calibri" w:cs="Calibri"/>
          <w:sz w:val="22"/>
          <w:szCs w:val="22"/>
        </w:rPr>
        <w:t>Pichugina</w:t>
      </w:r>
      <w:proofErr w:type="spellEnd"/>
      <w:r w:rsidRPr="00DB03CA">
        <w:rPr>
          <w:rFonts w:ascii="Calibri" w:hAnsi="Calibri" w:cs="Calibri"/>
          <w:sz w:val="22"/>
          <w:szCs w:val="22"/>
        </w:rPr>
        <w:t xml:space="preserve">, Y., Roberts, J.M., Ryerson, T., Schnell, R., </w:t>
      </w:r>
      <w:proofErr w:type="spellStart"/>
      <w:r w:rsidRPr="00DB03CA">
        <w:rPr>
          <w:rFonts w:ascii="Calibri" w:hAnsi="Calibri" w:cs="Calibri"/>
          <w:sz w:val="22"/>
          <w:szCs w:val="22"/>
        </w:rPr>
        <w:t>Senff</w:t>
      </w:r>
      <w:proofErr w:type="spellEnd"/>
      <w:r w:rsidRPr="00DB03CA">
        <w:rPr>
          <w:rFonts w:ascii="Calibri" w:hAnsi="Calibri" w:cs="Calibri"/>
          <w:sz w:val="22"/>
          <w:szCs w:val="22"/>
        </w:rPr>
        <w:t xml:space="preserve">, C., Sweeney, C., Thompson, C., </w:t>
      </w:r>
      <w:proofErr w:type="spellStart"/>
      <w:r w:rsidRPr="00DB03CA">
        <w:rPr>
          <w:rFonts w:ascii="Calibri" w:hAnsi="Calibri" w:cs="Calibri"/>
          <w:sz w:val="22"/>
          <w:szCs w:val="22"/>
        </w:rPr>
        <w:t>Veres</w:t>
      </w:r>
      <w:proofErr w:type="spellEnd"/>
      <w:r w:rsidRPr="00DB03CA">
        <w:rPr>
          <w:rFonts w:ascii="Calibri" w:hAnsi="Calibri" w:cs="Calibri"/>
          <w:sz w:val="22"/>
          <w:szCs w:val="22"/>
        </w:rPr>
        <w:t xml:space="preserve">, P.R., </w:t>
      </w:r>
      <w:proofErr w:type="spellStart"/>
      <w:r w:rsidRPr="00DB03CA">
        <w:rPr>
          <w:rFonts w:ascii="Calibri" w:hAnsi="Calibri" w:cs="Calibri"/>
          <w:sz w:val="22"/>
          <w:szCs w:val="22"/>
        </w:rPr>
        <w:t>Warneke</w:t>
      </w:r>
      <w:proofErr w:type="spellEnd"/>
      <w:r w:rsidRPr="00DB03CA">
        <w:rPr>
          <w:rFonts w:ascii="Calibri" w:hAnsi="Calibri" w:cs="Calibri"/>
          <w:sz w:val="22"/>
          <w:szCs w:val="22"/>
        </w:rPr>
        <w:t>, C., Wild, R., Williams, E.J., Yuan, B., Zamora, R., 2015. Understanding high wintertime ozone pollution events in an oil- and natural gas-producing region of the western US. Atmos. Chem. Phys. 15, 411-429.</w:t>
      </w:r>
    </w:p>
    <w:p w14:paraId="7BC84903" w14:textId="77777777"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 xml:space="preserve">Emery, C., Jung, J., Koo, B., </w:t>
      </w:r>
      <w:proofErr w:type="spellStart"/>
      <w:r w:rsidRPr="00DB03CA">
        <w:rPr>
          <w:rFonts w:ascii="Calibri" w:hAnsi="Calibri" w:cs="Calibri"/>
          <w:sz w:val="22"/>
          <w:szCs w:val="22"/>
        </w:rPr>
        <w:t>Yarwood</w:t>
      </w:r>
      <w:proofErr w:type="spellEnd"/>
      <w:r w:rsidRPr="00DB03CA">
        <w:rPr>
          <w:rFonts w:ascii="Calibri" w:hAnsi="Calibri" w:cs="Calibri"/>
          <w:sz w:val="22"/>
          <w:szCs w:val="22"/>
        </w:rPr>
        <w:t xml:space="preserve">, G., 2015. Final Report: Improvements to </w:t>
      </w:r>
      <w:proofErr w:type="spellStart"/>
      <w:r w:rsidRPr="00DB03CA">
        <w:rPr>
          <w:rFonts w:ascii="Calibri" w:hAnsi="Calibri" w:cs="Calibri"/>
          <w:sz w:val="22"/>
          <w:szCs w:val="22"/>
        </w:rPr>
        <w:t>CAMx</w:t>
      </w:r>
      <w:proofErr w:type="spellEnd"/>
      <w:r w:rsidRPr="00DB03CA">
        <w:rPr>
          <w:rFonts w:ascii="Calibri" w:hAnsi="Calibri" w:cs="Calibri"/>
          <w:sz w:val="22"/>
          <w:szCs w:val="22"/>
        </w:rPr>
        <w:t xml:space="preserve"> Snow Cover Treatments and Carbon Bond Chemical Mechanism for Winter Ozone. </w:t>
      </w:r>
      <w:proofErr w:type="spellStart"/>
      <w:r w:rsidRPr="00DB03CA">
        <w:rPr>
          <w:rFonts w:ascii="Calibri" w:hAnsi="Calibri" w:cs="Calibri"/>
          <w:sz w:val="22"/>
          <w:szCs w:val="22"/>
        </w:rPr>
        <w:t>Ramboll</w:t>
      </w:r>
      <w:proofErr w:type="spellEnd"/>
      <w:r w:rsidRPr="00DB03CA">
        <w:rPr>
          <w:rFonts w:ascii="Calibri" w:hAnsi="Calibri" w:cs="Calibri"/>
          <w:sz w:val="22"/>
          <w:szCs w:val="22"/>
        </w:rPr>
        <w:t>-Environ, Novato, California. http://www.camx.com/files/udaq_snowchem_final_6aug15.pdf.</w:t>
      </w:r>
    </w:p>
    <w:p w14:paraId="4DA6052E" w14:textId="77777777"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EPA, U. S., 1998. Technical Assistance Document for Sampling and Analysis of Ozone Precursors, United States Environmental Protection Agency, Research Triangle Park, North Carolina.</w:t>
      </w:r>
    </w:p>
    <w:p w14:paraId="752190BF" w14:textId="77777777"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 xml:space="preserve">EPA, U.S., 1999 Compendium Method TO-11A—Determination of Formaldehyde in Ambient Air Using Adsorbent Cartridge Followed by </w:t>
      </w:r>
      <w:r w:rsidRPr="00D90149">
        <w:rPr>
          <w:rFonts w:ascii="Calibri" w:hAnsi="Calibri" w:cs="Calibri"/>
          <w:noProof/>
          <w:sz w:val="22"/>
          <w:szCs w:val="22"/>
        </w:rPr>
        <w:t>High Performance</w:t>
      </w:r>
      <w:r w:rsidRPr="00DB03CA">
        <w:rPr>
          <w:rFonts w:ascii="Calibri" w:hAnsi="Calibri" w:cs="Calibri"/>
          <w:sz w:val="22"/>
          <w:szCs w:val="22"/>
        </w:rPr>
        <w:t xml:space="preserve"> Liquid Chromatography, United States Environmental Protection Agency, Cincinnati, Ohio.</w:t>
      </w:r>
    </w:p>
    <w:p w14:paraId="23BAE3D4" w14:textId="77777777"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 xml:space="preserve">Foster, C., Crosman, E., Holland, L., </w:t>
      </w:r>
      <w:proofErr w:type="spellStart"/>
      <w:r w:rsidRPr="00DB03CA">
        <w:rPr>
          <w:rFonts w:ascii="Calibri" w:hAnsi="Calibri" w:cs="Calibri"/>
          <w:sz w:val="22"/>
          <w:szCs w:val="22"/>
        </w:rPr>
        <w:t>Mallia</w:t>
      </w:r>
      <w:proofErr w:type="spellEnd"/>
      <w:r w:rsidRPr="00DB03CA">
        <w:rPr>
          <w:rFonts w:ascii="Calibri" w:hAnsi="Calibri" w:cs="Calibri"/>
          <w:sz w:val="22"/>
          <w:szCs w:val="22"/>
        </w:rPr>
        <w:t xml:space="preserve">, D., </w:t>
      </w:r>
      <w:proofErr w:type="spellStart"/>
      <w:r w:rsidRPr="00DB03CA">
        <w:rPr>
          <w:rFonts w:ascii="Calibri" w:hAnsi="Calibri" w:cs="Calibri"/>
          <w:sz w:val="22"/>
          <w:szCs w:val="22"/>
        </w:rPr>
        <w:t>Fasoli</w:t>
      </w:r>
      <w:proofErr w:type="spellEnd"/>
      <w:r w:rsidRPr="00DB03CA">
        <w:rPr>
          <w:rFonts w:ascii="Calibri" w:hAnsi="Calibri" w:cs="Calibri"/>
          <w:sz w:val="22"/>
          <w:szCs w:val="22"/>
        </w:rPr>
        <w:t xml:space="preserve">, B., Bares, R., Horel, J., and Lin, J., 2017. </w:t>
      </w:r>
      <w:r w:rsidRPr="00D90149">
        <w:rPr>
          <w:rFonts w:ascii="Calibri" w:hAnsi="Calibri" w:cs="Calibri"/>
          <w:noProof/>
          <w:sz w:val="22"/>
          <w:szCs w:val="22"/>
        </w:rPr>
        <w:t>Confirmation</w:t>
      </w:r>
      <w:r w:rsidRPr="00DB03CA">
        <w:rPr>
          <w:rFonts w:ascii="Calibri" w:hAnsi="Calibri" w:cs="Calibri"/>
          <w:sz w:val="22"/>
          <w:szCs w:val="22"/>
        </w:rPr>
        <w:t xml:space="preserve"> of Elevated Methane Emissions in Utah's Uintah Basin </w:t>
      </w:r>
      <w:proofErr w:type="gramStart"/>
      <w:r w:rsidRPr="00DB03CA">
        <w:rPr>
          <w:rFonts w:ascii="Calibri" w:hAnsi="Calibri" w:cs="Calibri"/>
          <w:sz w:val="22"/>
          <w:szCs w:val="22"/>
        </w:rPr>
        <w:t>With</w:t>
      </w:r>
      <w:proofErr w:type="gramEnd"/>
      <w:r w:rsidRPr="00DB03CA">
        <w:rPr>
          <w:rFonts w:ascii="Calibri" w:hAnsi="Calibri" w:cs="Calibri"/>
          <w:sz w:val="22"/>
          <w:szCs w:val="22"/>
        </w:rPr>
        <w:t xml:space="preserve"> Ground‐Based Observations and a High‐Resolution Transport Model, J. </w:t>
      </w:r>
      <w:proofErr w:type="spellStart"/>
      <w:r w:rsidRPr="00DB03CA">
        <w:rPr>
          <w:rFonts w:ascii="Calibri" w:hAnsi="Calibri" w:cs="Calibri"/>
          <w:sz w:val="22"/>
          <w:szCs w:val="22"/>
        </w:rPr>
        <w:t>Geophys</w:t>
      </w:r>
      <w:proofErr w:type="spellEnd"/>
      <w:r w:rsidRPr="00DB03CA">
        <w:rPr>
          <w:rFonts w:ascii="Calibri" w:hAnsi="Calibri" w:cs="Calibri"/>
          <w:sz w:val="22"/>
          <w:szCs w:val="22"/>
        </w:rPr>
        <w:t>. Res. Atmos., 122, 13026-13044.</w:t>
      </w:r>
    </w:p>
    <w:p w14:paraId="53C2F9FB" w14:textId="77777777"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 xml:space="preserve">Gilman, J. B.; Lerner, B. M.; </w:t>
      </w:r>
      <w:proofErr w:type="spellStart"/>
      <w:r w:rsidRPr="00DB03CA">
        <w:rPr>
          <w:rFonts w:ascii="Calibri" w:hAnsi="Calibri" w:cs="Calibri"/>
          <w:sz w:val="22"/>
          <w:szCs w:val="22"/>
        </w:rPr>
        <w:t>Kuster</w:t>
      </w:r>
      <w:proofErr w:type="spellEnd"/>
      <w:r w:rsidRPr="00DB03CA">
        <w:rPr>
          <w:rFonts w:ascii="Calibri" w:hAnsi="Calibri" w:cs="Calibri"/>
          <w:sz w:val="22"/>
          <w:szCs w:val="22"/>
        </w:rPr>
        <w:t xml:space="preserve">, W. C.; de Gouw, J. A. 2013. Source Signature of Volatile Organic Compounds from Oil and Natural Gas Operations in Northeastern Colorado. Environmental Science &amp; Technology 47 (3):  1297-1305. </w:t>
      </w:r>
      <w:r w:rsidRPr="00D90149">
        <w:rPr>
          <w:rFonts w:ascii="Calibri" w:hAnsi="Calibri" w:cs="Calibri"/>
          <w:noProof/>
          <w:sz w:val="22"/>
          <w:szCs w:val="22"/>
        </w:rPr>
        <w:t>doi</w:t>
      </w:r>
      <w:r w:rsidRPr="00DB03CA">
        <w:rPr>
          <w:rFonts w:ascii="Calibri" w:hAnsi="Calibri" w:cs="Calibri"/>
          <w:sz w:val="22"/>
          <w:szCs w:val="22"/>
        </w:rPr>
        <w:t>: 10.1021/es304119a.</w:t>
      </w:r>
    </w:p>
    <w:p w14:paraId="79FCF456" w14:textId="77777777" w:rsidR="00DD1F8A" w:rsidRPr="00DB03CA" w:rsidRDefault="00DD1F8A" w:rsidP="00DD1F8A">
      <w:pPr>
        <w:pStyle w:val="xmsonormal"/>
        <w:shd w:val="clear" w:color="auto" w:fill="FFFFFF"/>
        <w:spacing w:after="0"/>
        <w:rPr>
          <w:rFonts w:ascii="Calibri" w:hAnsi="Calibri" w:cs="Calibri"/>
          <w:sz w:val="22"/>
          <w:szCs w:val="22"/>
        </w:rPr>
      </w:pPr>
      <w:proofErr w:type="spellStart"/>
      <w:r w:rsidRPr="00DB03CA">
        <w:rPr>
          <w:rFonts w:ascii="Calibri" w:hAnsi="Calibri" w:cs="Calibri"/>
          <w:sz w:val="22"/>
          <w:szCs w:val="22"/>
        </w:rPr>
        <w:lastRenderedPageBreak/>
        <w:t>Guha</w:t>
      </w:r>
      <w:proofErr w:type="spellEnd"/>
      <w:r w:rsidRPr="00DB03CA">
        <w:rPr>
          <w:rFonts w:ascii="Calibri" w:hAnsi="Calibri" w:cs="Calibri"/>
          <w:sz w:val="22"/>
          <w:szCs w:val="22"/>
        </w:rPr>
        <w:t xml:space="preserve">, A., D. </w:t>
      </w:r>
      <w:proofErr w:type="spellStart"/>
      <w:r w:rsidRPr="00DB03CA">
        <w:rPr>
          <w:rFonts w:ascii="Calibri" w:hAnsi="Calibri" w:cs="Calibri"/>
          <w:sz w:val="22"/>
          <w:szCs w:val="22"/>
        </w:rPr>
        <w:t>Gentner</w:t>
      </w:r>
      <w:proofErr w:type="spellEnd"/>
      <w:r w:rsidRPr="00DB03CA">
        <w:rPr>
          <w:rFonts w:ascii="Calibri" w:hAnsi="Calibri" w:cs="Calibri"/>
          <w:sz w:val="22"/>
          <w:szCs w:val="22"/>
        </w:rPr>
        <w:t xml:space="preserve">, R. Weber, R. Provencal, and A. Goldstein (2015), Source apportionment of methane and nitrous oxide in California’s San Joaquin Valley at </w:t>
      </w:r>
      <w:proofErr w:type="spellStart"/>
      <w:r w:rsidRPr="00DB03CA">
        <w:rPr>
          <w:rFonts w:ascii="Calibri" w:hAnsi="Calibri" w:cs="Calibri"/>
          <w:sz w:val="22"/>
          <w:szCs w:val="22"/>
        </w:rPr>
        <w:t>CalNex</w:t>
      </w:r>
      <w:proofErr w:type="spellEnd"/>
      <w:r w:rsidRPr="00DB03CA">
        <w:rPr>
          <w:rFonts w:ascii="Calibri" w:hAnsi="Calibri" w:cs="Calibri"/>
          <w:sz w:val="22"/>
          <w:szCs w:val="22"/>
        </w:rPr>
        <w:t xml:space="preserve"> 2010 via positive matrix factorization, Atmos. Chem. Phys., 15(20), 12,043–12,063.</w:t>
      </w:r>
    </w:p>
    <w:p w14:paraId="7836857E" w14:textId="77777777"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 xml:space="preserve">Hsu, S., </w:t>
      </w:r>
      <w:proofErr w:type="spellStart"/>
      <w:r w:rsidRPr="00DB03CA">
        <w:rPr>
          <w:rFonts w:ascii="Calibri" w:hAnsi="Calibri" w:cs="Calibri"/>
          <w:sz w:val="22"/>
          <w:szCs w:val="22"/>
        </w:rPr>
        <w:t>Divita</w:t>
      </w:r>
      <w:proofErr w:type="spellEnd"/>
      <w:r w:rsidRPr="00DB03CA">
        <w:rPr>
          <w:rFonts w:ascii="Calibri" w:hAnsi="Calibri" w:cs="Calibri"/>
          <w:sz w:val="22"/>
          <w:szCs w:val="22"/>
        </w:rPr>
        <w:t xml:space="preserve">, F., Dorn, J., 2016. SPECIATE Version 4.5. </w:t>
      </w:r>
      <w:proofErr w:type="spellStart"/>
      <w:r w:rsidRPr="00DB03CA">
        <w:rPr>
          <w:rFonts w:ascii="Calibri" w:hAnsi="Calibri" w:cs="Calibri"/>
          <w:sz w:val="22"/>
          <w:szCs w:val="22"/>
        </w:rPr>
        <w:t>Abt</w:t>
      </w:r>
      <w:proofErr w:type="spellEnd"/>
      <w:r w:rsidRPr="00DB03CA">
        <w:rPr>
          <w:rFonts w:ascii="Calibri" w:hAnsi="Calibri" w:cs="Calibri"/>
          <w:sz w:val="22"/>
          <w:szCs w:val="22"/>
        </w:rPr>
        <w:t xml:space="preserve"> Associates, Bethesda, Maryland. https://www.epa.gov/sites/production/files/2016-09/documents/speciate_4.5.pdf</w:t>
      </w:r>
    </w:p>
    <w:p w14:paraId="5EAC3586" w14:textId="77777777" w:rsidR="00DD1F8A" w:rsidRPr="00DB03CA" w:rsidRDefault="00DD1F8A" w:rsidP="00DD1F8A">
      <w:pPr>
        <w:pStyle w:val="xmsonormal"/>
        <w:shd w:val="clear" w:color="auto" w:fill="FFFFFF"/>
        <w:spacing w:after="0"/>
        <w:rPr>
          <w:rFonts w:ascii="Calibri" w:hAnsi="Calibri" w:cs="Calibri"/>
          <w:sz w:val="22"/>
          <w:szCs w:val="22"/>
        </w:rPr>
      </w:pPr>
      <w:proofErr w:type="spellStart"/>
      <w:r w:rsidRPr="00DB03CA">
        <w:rPr>
          <w:rFonts w:ascii="Calibri" w:hAnsi="Calibri" w:cs="Calibri"/>
          <w:sz w:val="22"/>
          <w:szCs w:val="22"/>
        </w:rPr>
        <w:t>Lanz</w:t>
      </w:r>
      <w:proofErr w:type="spellEnd"/>
      <w:r w:rsidRPr="00DB03CA">
        <w:rPr>
          <w:rFonts w:ascii="Calibri" w:hAnsi="Calibri" w:cs="Calibri"/>
          <w:sz w:val="22"/>
          <w:szCs w:val="22"/>
        </w:rPr>
        <w:t xml:space="preserve">, V., M. R. </w:t>
      </w:r>
      <w:proofErr w:type="spellStart"/>
      <w:r w:rsidRPr="00DB03CA">
        <w:rPr>
          <w:rFonts w:ascii="Calibri" w:hAnsi="Calibri" w:cs="Calibri"/>
          <w:sz w:val="22"/>
          <w:szCs w:val="22"/>
        </w:rPr>
        <w:t>Alfarra</w:t>
      </w:r>
      <w:proofErr w:type="spellEnd"/>
      <w:r w:rsidRPr="00DB03CA">
        <w:rPr>
          <w:rFonts w:ascii="Calibri" w:hAnsi="Calibri" w:cs="Calibri"/>
          <w:sz w:val="22"/>
          <w:szCs w:val="22"/>
        </w:rPr>
        <w:t xml:space="preserve">, U. </w:t>
      </w:r>
      <w:proofErr w:type="spellStart"/>
      <w:r w:rsidRPr="00DB03CA">
        <w:rPr>
          <w:rFonts w:ascii="Calibri" w:hAnsi="Calibri" w:cs="Calibri"/>
          <w:sz w:val="22"/>
          <w:szCs w:val="22"/>
        </w:rPr>
        <w:t>Baltensperger</w:t>
      </w:r>
      <w:proofErr w:type="spellEnd"/>
      <w:r w:rsidRPr="00DB03CA">
        <w:rPr>
          <w:rFonts w:ascii="Calibri" w:hAnsi="Calibri" w:cs="Calibri"/>
          <w:sz w:val="22"/>
          <w:szCs w:val="22"/>
        </w:rPr>
        <w:t xml:space="preserve">, B. </w:t>
      </w:r>
      <w:proofErr w:type="spellStart"/>
      <w:r w:rsidRPr="00DB03CA">
        <w:rPr>
          <w:rFonts w:ascii="Calibri" w:hAnsi="Calibri" w:cs="Calibri"/>
          <w:sz w:val="22"/>
          <w:szCs w:val="22"/>
        </w:rPr>
        <w:t>Buchmann</w:t>
      </w:r>
      <w:proofErr w:type="spellEnd"/>
      <w:r w:rsidRPr="00DB03CA">
        <w:rPr>
          <w:rFonts w:ascii="Calibri" w:hAnsi="Calibri" w:cs="Calibri"/>
          <w:sz w:val="22"/>
          <w:szCs w:val="22"/>
        </w:rPr>
        <w:t xml:space="preserve">, C. </w:t>
      </w:r>
      <w:proofErr w:type="spellStart"/>
      <w:r w:rsidRPr="00DB03CA">
        <w:rPr>
          <w:rFonts w:ascii="Calibri" w:hAnsi="Calibri" w:cs="Calibri"/>
          <w:sz w:val="22"/>
          <w:szCs w:val="22"/>
        </w:rPr>
        <w:t>Hueglin</w:t>
      </w:r>
      <w:proofErr w:type="spellEnd"/>
      <w:r w:rsidRPr="00DB03CA">
        <w:rPr>
          <w:rFonts w:ascii="Calibri" w:hAnsi="Calibri" w:cs="Calibri"/>
          <w:sz w:val="22"/>
          <w:szCs w:val="22"/>
        </w:rPr>
        <w:t xml:space="preserve">, and A. </w:t>
      </w:r>
      <w:proofErr w:type="spellStart"/>
      <w:r w:rsidRPr="00DB03CA">
        <w:rPr>
          <w:rFonts w:ascii="Calibri" w:hAnsi="Calibri" w:cs="Calibri"/>
          <w:sz w:val="22"/>
          <w:szCs w:val="22"/>
        </w:rPr>
        <w:t>Prévôt</w:t>
      </w:r>
      <w:proofErr w:type="spellEnd"/>
      <w:r w:rsidRPr="00DB03CA">
        <w:rPr>
          <w:rFonts w:ascii="Calibri" w:hAnsi="Calibri" w:cs="Calibri"/>
          <w:sz w:val="22"/>
          <w:szCs w:val="22"/>
        </w:rPr>
        <w:t xml:space="preserve"> (2007), Source apportionment of submicron organic aerosols at an urban site by factor analytical </w:t>
      </w:r>
      <w:r w:rsidRPr="00D90149">
        <w:rPr>
          <w:rFonts w:ascii="Calibri" w:hAnsi="Calibri" w:cs="Calibri"/>
          <w:noProof/>
          <w:sz w:val="22"/>
          <w:szCs w:val="22"/>
        </w:rPr>
        <w:t>modelling</w:t>
      </w:r>
      <w:r w:rsidRPr="00DB03CA">
        <w:rPr>
          <w:rFonts w:ascii="Calibri" w:hAnsi="Calibri" w:cs="Calibri"/>
          <w:sz w:val="22"/>
          <w:szCs w:val="22"/>
        </w:rPr>
        <w:t xml:space="preserve"> of aerosol mass spectra, Atmos. Chem. Phys., 7(6), 1503–1522.</w:t>
      </w:r>
    </w:p>
    <w:p w14:paraId="0F8E2E2C" w14:textId="77777777"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 xml:space="preserve">Lyman, S., 2015. </w:t>
      </w:r>
      <w:r w:rsidRPr="00D90149">
        <w:rPr>
          <w:rFonts w:ascii="Calibri" w:hAnsi="Calibri" w:cs="Calibri"/>
          <w:noProof/>
          <w:sz w:val="22"/>
          <w:szCs w:val="22"/>
        </w:rPr>
        <w:t>Measurement</w:t>
      </w:r>
      <w:r w:rsidRPr="00DB03CA">
        <w:rPr>
          <w:rFonts w:ascii="Calibri" w:hAnsi="Calibri" w:cs="Calibri"/>
          <w:sz w:val="22"/>
          <w:szCs w:val="22"/>
        </w:rPr>
        <w:t xml:space="preserve"> of Carbonyl Emissions from Oil and Gas Sources in the Uintah Basin. Utah State University, Vernal, Utah. http://binghamresearch.usu.edu/files/CarbonylEmiss_FnlRprt_31jul2015.pdf </w:t>
      </w:r>
    </w:p>
    <w:p w14:paraId="5C8E1551" w14:textId="77777777"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Lyman, S.N., Mansfield, M.L., Tran, H., Tran, T., 2017. Uintah Basin Air Quality Research: 2018 Annual Report. BRC_181031A. Utah State University, Vernal, Utah. https://usu.box.com/s/rigadr7yt7ipir4gzj75vfaazoe8u8mt.</w:t>
      </w:r>
    </w:p>
    <w:p w14:paraId="51D49B44" w14:textId="77777777" w:rsidR="00DD1F8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 xml:space="preserve">Matichuk, R., Tonnesen, G., Luecken, D., Gilliam, R., </w:t>
      </w:r>
      <w:proofErr w:type="spellStart"/>
      <w:r w:rsidRPr="00DB03CA">
        <w:rPr>
          <w:rFonts w:ascii="Calibri" w:hAnsi="Calibri" w:cs="Calibri"/>
          <w:sz w:val="22"/>
          <w:szCs w:val="22"/>
        </w:rPr>
        <w:t>Napelenok</w:t>
      </w:r>
      <w:proofErr w:type="spellEnd"/>
      <w:r w:rsidRPr="00DB03CA">
        <w:rPr>
          <w:rFonts w:ascii="Calibri" w:hAnsi="Calibri" w:cs="Calibri"/>
          <w:sz w:val="22"/>
          <w:szCs w:val="22"/>
        </w:rPr>
        <w:t xml:space="preserve">, S.L., Baker, K.R., </w:t>
      </w:r>
      <w:proofErr w:type="spellStart"/>
      <w:r w:rsidRPr="00DB03CA">
        <w:rPr>
          <w:rFonts w:ascii="Calibri" w:hAnsi="Calibri" w:cs="Calibri"/>
          <w:sz w:val="22"/>
          <w:szCs w:val="22"/>
        </w:rPr>
        <w:t>Schwede</w:t>
      </w:r>
      <w:proofErr w:type="spellEnd"/>
      <w:r w:rsidRPr="00DB03CA">
        <w:rPr>
          <w:rFonts w:ascii="Calibri" w:hAnsi="Calibri" w:cs="Calibri"/>
          <w:sz w:val="22"/>
          <w:szCs w:val="22"/>
        </w:rPr>
        <w:t xml:space="preserve">, D., Murphy, B., </w:t>
      </w:r>
      <w:proofErr w:type="spellStart"/>
      <w:r w:rsidRPr="00DB03CA">
        <w:rPr>
          <w:rFonts w:ascii="Calibri" w:hAnsi="Calibri" w:cs="Calibri"/>
          <w:sz w:val="22"/>
          <w:szCs w:val="22"/>
        </w:rPr>
        <w:t>Helmig</w:t>
      </w:r>
      <w:proofErr w:type="spellEnd"/>
      <w:r w:rsidRPr="00DB03CA">
        <w:rPr>
          <w:rFonts w:ascii="Calibri" w:hAnsi="Calibri" w:cs="Calibri"/>
          <w:sz w:val="22"/>
          <w:szCs w:val="22"/>
        </w:rPr>
        <w:t xml:space="preserve">, D., Lyman, S.N., 2017. </w:t>
      </w:r>
      <w:r w:rsidRPr="00D90149">
        <w:rPr>
          <w:rFonts w:ascii="Calibri" w:hAnsi="Calibri" w:cs="Calibri"/>
          <w:noProof/>
          <w:sz w:val="22"/>
          <w:szCs w:val="22"/>
        </w:rPr>
        <w:t>Evaluation</w:t>
      </w:r>
      <w:r w:rsidRPr="00DB03CA">
        <w:rPr>
          <w:rFonts w:ascii="Calibri" w:hAnsi="Calibri" w:cs="Calibri"/>
          <w:sz w:val="22"/>
          <w:szCs w:val="22"/>
        </w:rPr>
        <w:t xml:space="preserve"> of the Community Multiscale Air Quality Model for Simulating Winter Ozone Formation in the Uinta Basin. J. </w:t>
      </w:r>
      <w:proofErr w:type="spellStart"/>
      <w:r w:rsidRPr="00DB03CA">
        <w:rPr>
          <w:rFonts w:ascii="Calibri" w:hAnsi="Calibri" w:cs="Calibri"/>
          <w:sz w:val="22"/>
          <w:szCs w:val="22"/>
        </w:rPr>
        <w:t>Geophys</w:t>
      </w:r>
      <w:proofErr w:type="spellEnd"/>
      <w:r w:rsidRPr="00DB03CA">
        <w:rPr>
          <w:rFonts w:ascii="Calibri" w:hAnsi="Calibri" w:cs="Calibri"/>
          <w:sz w:val="22"/>
          <w:szCs w:val="22"/>
        </w:rPr>
        <w:t>. Res. Atmos. 122, 13545–13572.</w:t>
      </w:r>
    </w:p>
    <w:p w14:paraId="64556D8C" w14:textId="77777777" w:rsidR="00DD1F8A" w:rsidRPr="00DB03CA" w:rsidRDefault="00DD1F8A" w:rsidP="00DD1F8A">
      <w:pPr>
        <w:pStyle w:val="xmsonormal"/>
        <w:shd w:val="clear" w:color="auto" w:fill="FFFFFF"/>
        <w:spacing w:after="0"/>
        <w:rPr>
          <w:rFonts w:ascii="Calibri" w:hAnsi="Calibri" w:cs="Calibri"/>
          <w:sz w:val="22"/>
          <w:szCs w:val="22"/>
        </w:rPr>
      </w:pPr>
      <w:proofErr w:type="spellStart"/>
      <w:r w:rsidRPr="00CB1388">
        <w:rPr>
          <w:rFonts w:ascii="Calibri" w:hAnsi="Calibri" w:cs="Calibri"/>
          <w:sz w:val="22"/>
          <w:szCs w:val="22"/>
        </w:rPr>
        <w:t>Neemann</w:t>
      </w:r>
      <w:proofErr w:type="spellEnd"/>
      <w:r w:rsidRPr="00CB1388">
        <w:rPr>
          <w:rFonts w:ascii="Calibri" w:hAnsi="Calibri" w:cs="Calibri"/>
          <w:sz w:val="22"/>
          <w:szCs w:val="22"/>
        </w:rPr>
        <w:t xml:space="preserve">, E.M., Crosman, E.T., </w:t>
      </w:r>
      <w:r w:rsidRPr="00D90149">
        <w:rPr>
          <w:rFonts w:ascii="Calibri" w:hAnsi="Calibri" w:cs="Calibri"/>
          <w:noProof/>
          <w:sz w:val="22"/>
          <w:szCs w:val="22"/>
        </w:rPr>
        <w:t>Horel</w:t>
      </w:r>
      <w:r w:rsidRPr="00CB1388">
        <w:rPr>
          <w:rFonts w:ascii="Calibri" w:hAnsi="Calibri" w:cs="Calibri"/>
          <w:sz w:val="22"/>
          <w:szCs w:val="22"/>
        </w:rPr>
        <w:t>, J.D., Avey, L., 2015. Simulations of a cold-air pool</w:t>
      </w:r>
      <w:r>
        <w:rPr>
          <w:rFonts w:ascii="Calibri" w:hAnsi="Calibri" w:cs="Calibri"/>
          <w:sz w:val="22"/>
          <w:szCs w:val="22"/>
        </w:rPr>
        <w:t xml:space="preserve"> </w:t>
      </w:r>
      <w:r w:rsidRPr="00CB1388">
        <w:rPr>
          <w:rFonts w:ascii="Calibri" w:hAnsi="Calibri" w:cs="Calibri"/>
          <w:sz w:val="22"/>
          <w:szCs w:val="22"/>
        </w:rPr>
        <w:t>associated with elevated wintertime ozone in the Uintah Basin. Utah. Atmos. Chem.</w:t>
      </w:r>
      <w:r>
        <w:rPr>
          <w:rFonts w:ascii="Calibri" w:hAnsi="Calibri" w:cs="Calibri"/>
          <w:sz w:val="22"/>
          <w:szCs w:val="22"/>
        </w:rPr>
        <w:t xml:space="preserve"> </w:t>
      </w:r>
      <w:r w:rsidRPr="00CB1388">
        <w:rPr>
          <w:rFonts w:ascii="Calibri" w:hAnsi="Calibri" w:cs="Calibri"/>
          <w:sz w:val="22"/>
          <w:szCs w:val="22"/>
        </w:rPr>
        <w:t>Phys. 15, 135–151.</w:t>
      </w:r>
      <w:r>
        <w:rPr>
          <w:rFonts w:ascii="Calibri" w:hAnsi="Calibri" w:cs="Calibri"/>
          <w:sz w:val="22"/>
          <w:szCs w:val="22"/>
        </w:rPr>
        <w:br/>
      </w:r>
      <w:r w:rsidRPr="00CB1388">
        <w:rPr>
          <w:rFonts w:ascii="Calibri" w:hAnsi="Calibri" w:cs="Calibri"/>
          <w:sz w:val="22"/>
          <w:szCs w:val="22"/>
        </w:rPr>
        <w:t>http://doi.org/10.5194/acp-15-135-2015.</w:t>
      </w:r>
    </w:p>
    <w:p w14:paraId="3C5878A3" w14:textId="77777777"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Oswald, W., 2017. Developing a Utah Oil and Gas Emissions Inventory, https://www.epa.gov/sites/production/files/2017-11/documents/utah_oil_and_gas.pdf</w:t>
      </w:r>
    </w:p>
    <w:p w14:paraId="2918EAD2" w14:textId="3263CFDB"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 xml:space="preserve">Song, Y., Y. Zhang, S. </w:t>
      </w:r>
      <w:proofErr w:type="spellStart"/>
      <w:r w:rsidRPr="00DB03CA">
        <w:rPr>
          <w:rFonts w:ascii="Calibri" w:hAnsi="Calibri" w:cs="Calibri"/>
          <w:sz w:val="22"/>
          <w:szCs w:val="22"/>
        </w:rPr>
        <w:t>Xie</w:t>
      </w:r>
      <w:proofErr w:type="spellEnd"/>
      <w:r w:rsidRPr="00DB03CA">
        <w:rPr>
          <w:rFonts w:ascii="Calibri" w:hAnsi="Calibri" w:cs="Calibri"/>
          <w:sz w:val="22"/>
          <w:szCs w:val="22"/>
        </w:rPr>
        <w:t xml:space="preserve">, L. Zeng, M. Zheng, L. G. Salmon, M. Shao, and S. </w:t>
      </w:r>
      <w:proofErr w:type="spellStart"/>
      <w:r w:rsidRPr="00DB03CA">
        <w:rPr>
          <w:rFonts w:ascii="Calibri" w:hAnsi="Calibri" w:cs="Calibri"/>
          <w:sz w:val="22"/>
          <w:szCs w:val="22"/>
        </w:rPr>
        <w:t>Slanina</w:t>
      </w:r>
      <w:proofErr w:type="spellEnd"/>
      <w:r w:rsidRPr="00DB03CA">
        <w:rPr>
          <w:rFonts w:ascii="Calibri" w:hAnsi="Calibri" w:cs="Calibri"/>
          <w:sz w:val="22"/>
          <w:szCs w:val="22"/>
        </w:rPr>
        <w:t xml:space="preserve"> (2006), Source apportionment of PM2. </w:t>
      </w:r>
      <w:r w:rsidRPr="00D90149">
        <w:rPr>
          <w:rFonts w:ascii="Calibri" w:hAnsi="Calibri" w:cs="Calibri"/>
          <w:noProof/>
          <w:sz w:val="22"/>
          <w:szCs w:val="22"/>
        </w:rPr>
        <w:t>5</w:t>
      </w:r>
      <w:r w:rsidRPr="00DB03CA">
        <w:rPr>
          <w:rFonts w:ascii="Calibri" w:hAnsi="Calibri" w:cs="Calibri"/>
          <w:sz w:val="22"/>
          <w:szCs w:val="22"/>
        </w:rPr>
        <w:t xml:space="preserve"> in Beijing by positive matrix factorization, Atmos. Environ., 40(8), 1526–1537</w:t>
      </w:r>
    </w:p>
    <w:p w14:paraId="3BF53974" w14:textId="77777777" w:rsidR="00DD1F8A" w:rsidRPr="00DB03CA" w:rsidRDefault="00DD1F8A" w:rsidP="00DD1F8A">
      <w:pPr>
        <w:pStyle w:val="xmsonormal"/>
        <w:shd w:val="clear" w:color="auto" w:fill="FFFFFF"/>
        <w:spacing w:after="0"/>
        <w:rPr>
          <w:rFonts w:ascii="Calibri" w:hAnsi="Calibri" w:cs="Calibri"/>
          <w:sz w:val="22"/>
          <w:szCs w:val="22"/>
        </w:rPr>
      </w:pPr>
      <w:proofErr w:type="spellStart"/>
      <w:r w:rsidRPr="00DB03CA">
        <w:rPr>
          <w:rFonts w:ascii="Calibri" w:hAnsi="Calibri" w:cs="Calibri"/>
          <w:sz w:val="22"/>
          <w:szCs w:val="22"/>
        </w:rPr>
        <w:t>Swarthout</w:t>
      </w:r>
      <w:proofErr w:type="spellEnd"/>
      <w:r w:rsidRPr="00DB03CA">
        <w:rPr>
          <w:rFonts w:ascii="Calibri" w:hAnsi="Calibri" w:cs="Calibri"/>
          <w:sz w:val="22"/>
          <w:szCs w:val="22"/>
        </w:rPr>
        <w:t xml:space="preserve">, R. F.; Russo, R. S.; Zhou, Y.; Hart, A. H.; </w:t>
      </w:r>
      <w:proofErr w:type="spellStart"/>
      <w:r w:rsidRPr="00DB03CA">
        <w:rPr>
          <w:rFonts w:ascii="Calibri" w:hAnsi="Calibri" w:cs="Calibri"/>
          <w:sz w:val="22"/>
          <w:szCs w:val="22"/>
        </w:rPr>
        <w:t>Sive</w:t>
      </w:r>
      <w:proofErr w:type="spellEnd"/>
      <w:r w:rsidRPr="00DB03CA">
        <w:rPr>
          <w:rFonts w:ascii="Calibri" w:hAnsi="Calibri" w:cs="Calibri"/>
          <w:sz w:val="22"/>
          <w:szCs w:val="22"/>
        </w:rPr>
        <w:t xml:space="preserve">, B. C. 2013. Volatile organic compound distributions during the NACHTT campaign at the Boulder Atmospheric Observatory: Influence of urban and natural gas sources. Journal of Geophysical Research: Atmospheres 118 (18):  10,614-10,637. </w:t>
      </w:r>
      <w:r w:rsidRPr="00D90149">
        <w:rPr>
          <w:rFonts w:ascii="Calibri" w:hAnsi="Calibri" w:cs="Calibri"/>
          <w:noProof/>
          <w:sz w:val="22"/>
          <w:szCs w:val="22"/>
        </w:rPr>
        <w:t>doi</w:t>
      </w:r>
      <w:r w:rsidRPr="00DB03CA">
        <w:rPr>
          <w:rFonts w:ascii="Calibri" w:hAnsi="Calibri" w:cs="Calibri"/>
          <w:sz w:val="22"/>
          <w:szCs w:val="22"/>
        </w:rPr>
        <w:t xml:space="preserve">: </w:t>
      </w:r>
      <w:r w:rsidRPr="00D90149">
        <w:rPr>
          <w:rFonts w:ascii="Calibri" w:hAnsi="Calibri" w:cs="Calibri"/>
          <w:noProof/>
          <w:sz w:val="22"/>
          <w:szCs w:val="22"/>
        </w:rPr>
        <w:t>doi</w:t>
      </w:r>
      <w:r w:rsidRPr="00DB03CA">
        <w:rPr>
          <w:rFonts w:ascii="Calibri" w:hAnsi="Calibri" w:cs="Calibri"/>
          <w:sz w:val="22"/>
          <w:szCs w:val="22"/>
        </w:rPr>
        <w:t>:10.1002/jgrd.50722.</w:t>
      </w:r>
    </w:p>
    <w:p w14:paraId="49A9F5B3" w14:textId="77777777"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 xml:space="preserve">Tran, T., Tran, H., Mansfield, M., Lyman, S., Crosman, E., 2018. </w:t>
      </w:r>
      <w:r w:rsidRPr="00D90149">
        <w:rPr>
          <w:rFonts w:ascii="Calibri" w:hAnsi="Calibri" w:cs="Calibri"/>
          <w:noProof/>
          <w:sz w:val="22"/>
          <w:szCs w:val="22"/>
        </w:rPr>
        <w:t>Four dimensional</w:t>
      </w:r>
      <w:r w:rsidRPr="00DB03CA">
        <w:rPr>
          <w:rFonts w:ascii="Calibri" w:hAnsi="Calibri" w:cs="Calibri"/>
          <w:sz w:val="22"/>
          <w:szCs w:val="22"/>
        </w:rPr>
        <w:t xml:space="preserve"> data assimilation (FDDA) impacts on WRF performance in simulating inversion layer structure and distributions of CMAQ simulated winter ozone concentrations in Uintah Basin. Atmos. Environ. 177, 75-92.</w:t>
      </w:r>
    </w:p>
    <w:p w14:paraId="1843B6B6" w14:textId="77777777"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 xml:space="preserve">Uchiyama, S., Naito, S., Matsumoto, M., </w:t>
      </w:r>
      <w:proofErr w:type="spellStart"/>
      <w:r w:rsidRPr="00DB03CA">
        <w:rPr>
          <w:rFonts w:ascii="Calibri" w:hAnsi="Calibri" w:cs="Calibri"/>
          <w:sz w:val="22"/>
          <w:szCs w:val="22"/>
        </w:rPr>
        <w:t>Inaba</w:t>
      </w:r>
      <w:proofErr w:type="spellEnd"/>
      <w:r w:rsidRPr="00DB03CA">
        <w:rPr>
          <w:rFonts w:ascii="Calibri" w:hAnsi="Calibri" w:cs="Calibri"/>
          <w:sz w:val="22"/>
          <w:szCs w:val="22"/>
        </w:rPr>
        <w:t xml:space="preserve">, Y., </w:t>
      </w:r>
      <w:proofErr w:type="spellStart"/>
      <w:r w:rsidRPr="00DB03CA">
        <w:rPr>
          <w:rFonts w:ascii="Calibri" w:hAnsi="Calibri" w:cs="Calibri"/>
          <w:sz w:val="22"/>
          <w:szCs w:val="22"/>
        </w:rPr>
        <w:t>Kunugita</w:t>
      </w:r>
      <w:proofErr w:type="spellEnd"/>
      <w:r w:rsidRPr="00DB03CA">
        <w:rPr>
          <w:rFonts w:ascii="Calibri" w:hAnsi="Calibri" w:cs="Calibri"/>
          <w:sz w:val="22"/>
          <w:szCs w:val="22"/>
        </w:rPr>
        <w:t xml:space="preserve">, N., 2009. Improved measurement of ozone and carbonyls using a dual-bed sampling cartridge containing trans-1, 2-bis (2-pyridyl) ethylene and 2, 4-dinitrophenylhydrazine-impregnated silica, Anal. Chem. 81, 6552-6557. EPA, U.S., 2014. EPA Positive Matrix Factorization (PMF) 5.0 Fundamentals and User Guide. United State Environmental Protection </w:t>
      </w:r>
      <w:r w:rsidRPr="00DB03CA">
        <w:rPr>
          <w:rFonts w:ascii="Calibri" w:hAnsi="Calibri" w:cs="Calibri"/>
          <w:sz w:val="22"/>
          <w:szCs w:val="22"/>
        </w:rPr>
        <w:lastRenderedPageBreak/>
        <w:t xml:space="preserve">Agency, Office of </w:t>
      </w:r>
      <w:r w:rsidRPr="00D90149">
        <w:rPr>
          <w:rFonts w:ascii="Calibri" w:hAnsi="Calibri" w:cs="Calibri"/>
          <w:noProof/>
          <w:sz w:val="22"/>
          <w:szCs w:val="22"/>
        </w:rPr>
        <w:t>research</w:t>
      </w:r>
      <w:r w:rsidRPr="00DB03CA">
        <w:rPr>
          <w:rFonts w:ascii="Calibri" w:hAnsi="Calibri" w:cs="Calibri"/>
          <w:sz w:val="22"/>
          <w:szCs w:val="22"/>
        </w:rPr>
        <w:t xml:space="preserve"> and Development, Washington, DC. Accessible at https://www.epa.gov/sites/production/files/2015-02/documents/pmf_5.0_user_guide.pdf</w:t>
      </w:r>
    </w:p>
    <w:p w14:paraId="78C5200F" w14:textId="77777777" w:rsidR="00DD1F8A" w:rsidRPr="00DB03CA" w:rsidRDefault="00DD1F8A" w:rsidP="00DD1F8A">
      <w:pPr>
        <w:pStyle w:val="xmsonormal"/>
        <w:shd w:val="clear" w:color="auto" w:fill="FFFFFF"/>
        <w:spacing w:after="0"/>
        <w:rPr>
          <w:rFonts w:ascii="Calibri" w:hAnsi="Calibri" w:cs="Calibri"/>
          <w:sz w:val="22"/>
          <w:szCs w:val="22"/>
        </w:rPr>
      </w:pPr>
      <w:r w:rsidRPr="00DB03CA">
        <w:rPr>
          <w:rFonts w:ascii="Calibri" w:hAnsi="Calibri" w:cs="Calibri"/>
          <w:sz w:val="22"/>
          <w:szCs w:val="22"/>
        </w:rPr>
        <w:t>UDAQ, 2018. Uinta Basin: 2014 Air Agencies Oil and Gas Emissions Inventory, https://deq.utah.gov/legacy/destinations/u/uintah-basin/air-agencies-emissions-inventory/index.htm.</w:t>
      </w:r>
    </w:p>
    <w:p w14:paraId="3D6BC547" w14:textId="77777777" w:rsidR="00DD1F8A" w:rsidRPr="00DB03CA" w:rsidRDefault="00DD1F8A" w:rsidP="00DD1F8A">
      <w:pPr>
        <w:pStyle w:val="xmsonormal"/>
        <w:shd w:val="clear" w:color="auto" w:fill="FFFFFF"/>
        <w:spacing w:after="0"/>
        <w:rPr>
          <w:rFonts w:ascii="Calibri" w:hAnsi="Calibri" w:cs="Calibri"/>
          <w:sz w:val="22"/>
          <w:szCs w:val="22"/>
        </w:rPr>
      </w:pPr>
      <w:r w:rsidRPr="00D90149">
        <w:rPr>
          <w:rFonts w:ascii="Calibri" w:hAnsi="Calibri" w:cs="Calibri"/>
          <w:noProof/>
          <w:sz w:val="22"/>
          <w:szCs w:val="22"/>
        </w:rPr>
        <w:t>Ulbrich, I., M. Canagaratna, Q. Zhang, D. Worsnop, and J. Jimenez (2009), Interpretation of organic components from positive matrix factorization of aerosol mass spectrometric data, Atmos.</w:t>
      </w:r>
      <w:r w:rsidRPr="00DB03CA">
        <w:rPr>
          <w:rFonts w:ascii="Calibri" w:hAnsi="Calibri" w:cs="Calibri"/>
          <w:sz w:val="22"/>
          <w:szCs w:val="22"/>
        </w:rPr>
        <w:t xml:space="preserve"> Chem. Phys., 9(9), 2891–2918.</w:t>
      </w:r>
    </w:p>
    <w:p w14:paraId="6A7C08EF" w14:textId="77777777" w:rsidR="00DD1F8A" w:rsidRPr="00682842" w:rsidRDefault="00DD1F8A" w:rsidP="00DD1F8A">
      <w:pPr>
        <w:pStyle w:val="xmsonormal"/>
        <w:shd w:val="clear" w:color="auto" w:fill="FFFFFF"/>
        <w:spacing w:before="0" w:beforeAutospacing="0" w:after="0" w:afterAutospacing="0"/>
        <w:rPr>
          <w:rFonts w:ascii="Calibri" w:hAnsi="Calibri" w:cs="Calibri"/>
          <w:sz w:val="22"/>
          <w:szCs w:val="22"/>
        </w:rPr>
      </w:pPr>
      <w:r w:rsidRPr="00C429F1">
        <w:rPr>
          <w:rFonts w:ascii="Calibri" w:hAnsi="Calibri" w:cs="Calibri"/>
          <w:sz w:val="22"/>
          <w:szCs w:val="22"/>
        </w:rPr>
        <w:t xml:space="preserve">Zheng, H.; Kong, S.; Xing, X.; Mao, Y.; Hu, T.; Ding, Y.; Li, G.; Liu, D.; Li, S.; Qi, S. 2018. </w:t>
      </w:r>
      <w:r w:rsidRPr="00C429F1">
        <w:rPr>
          <w:rFonts w:ascii="Calibri" w:hAnsi="Calibri" w:cs="Calibri"/>
          <w:noProof/>
          <w:sz w:val="22"/>
          <w:szCs w:val="22"/>
        </w:rPr>
        <w:t>Monitoring</w:t>
      </w:r>
      <w:r w:rsidRPr="00C429F1">
        <w:rPr>
          <w:rFonts w:ascii="Calibri" w:hAnsi="Calibri" w:cs="Calibri"/>
          <w:sz w:val="22"/>
          <w:szCs w:val="22"/>
        </w:rPr>
        <w:t xml:space="preserve"> of volatile organic compounds (VOCs) from an oil and gas station in northwest China for </w:t>
      </w:r>
      <w:r w:rsidRPr="00C429F1">
        <w:rPr>
          <w:rFonts w:ascii="Calibri" w:hAnsi="Calibri" w:cs="Calibri"/>
          <w:noProof/>
          <w:sz w:val="22"/>
          <w:szCs w:val="22"/>
        </w:rPr>
        <w:t>1</w:t>
      </w:r>
      <w:r w:rsidRPr="00C429F1">
        <w:rPr>
          <w:rFonts w:ascii="Calibri" w:hAnsi="Calibri" w:cs="Calibri"/>
          <w:sz w:val="22"/>
          <w:szCs w:val="22"/>
        </w:rPr>
        <w:t xml:space="preserve"> year. Atmos. Chem. Phys. 18 (7):  4567-4595. </w:t>
      </w:r>
      <w:r w:rsidRPr="00C429F1">
        <w:rPr>
          <w:rFonts w:ascii="Calibri" w:hAnsi="Calibri" w:cs="Calibri"/>
          <w:noProof/>
          <w:sz w:val="22"/>
          <w:szCs w:val="22"/>
        </w:rPr>
        <w:t>doi</w:t>
      </w:r>
      <w:r w:rsidRPr="00C429F1">
        <w:rPr>
          <w:rFonts w:ascii="Calibri" w:hAnsi="Calibri" w:cs="Calibri"/>
          <w:sz w:val="22"/>
          <w:szCs w:val="22"/>
        </w:rPr>
        <w:t>: 10.5194/acp-18-4567-2018.</w:t>
      </w:r>
    </w:p>
    <w:p w14:paraId="336FB85A" w14:textId="77777777" w:rsidR="00DD1F8A" w:rsidRPr="003F061F" w:rsidRDefault="00DD1F8A" w:rsidP="00DD1F8A">
      <w:pPr>
        <w:rPr>
          <w:b/>
        </w:rPr>
      </w:pPr>
      <w:r w:rsidRPr="003F061F">
        <w:rPr>
          <w:b/>
        </w:rPr>
        <w:br w:type="page"/>
      </w:r>
    </w:p>
    <w:p w14:paraId="60003461" w14:textId="77777777" w:rsidR="00DD1F8A" w:rsidRPr="00DB03CA" w:rsidRDefault="00DD1F8A" w:rsidP="00DD1F8A">
      <w:pPr>
        <w:pStyle w:val="xmsonormal"/>
        <w:shd w:val="clear" w:color="auto" w:fill="FFFFFF"/>
        <w:spacing w:before="0" w:beforeAutospacing="0" w:after="0" w:afterAutospacing="0"/>
        <w:rPr>
          <w:sz w:val="26"/>
        </w:rPr>
      </w:pPr>
      <w:r w:rsidRPr="00DB03CA">
        <w:rPr>
          <w:rFonts w:asciiTheme="minorHAnsi" w:eastAsiaTheme="minorHAnsi" w:hAnsiTheme="minorHAnsi" w:cstheme="minorBidi"/>
          <w:b/>
          <w:sz w:val="26"/>
          <w:szCs w:val="22"/>
        </w:rPr>
        <w:lastRenderedPageBreak/>
        <w:t>Expected Outputs and Outcomes</w:t>
      </w:r>
      <w:r w:rsidRPr="00DB03CA">
        <w:rPr>
          <w:rFonts w:asciiTheme="minorHAnsi" w:eastAsiaTheme="minorHAnsi" w:hAnsiTheme="minorHAnsi" w:cstheme="minorBidi"/>
          <w:sz w:val="26"/>
          <w:szCs w:val="22"/>
        </w:rPr>
        <w:t xml:space="preserve"> </w:t>
      </w:r>
    </w:p>
    <w:p w14:paraId="02E6455C" w14:textId="77777777" w:rsidR="00DD1F8A" w:rsidRPr="00DB03CA" w:rsidRDefault="00DD1F8A" w:rsidP="00DD1F8A">
      <w:pPr>
        <w:pStyle w:val="xmsonormal"/>
        <w:shd w:val="clear" w:color="auto" w:fill="FFFFFF"/>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DB03CA">
        <w:rPr>
          <w:rFonts w:asciiTheme="minorHAnsi" w:eastAsiaTheme="minorHAnsi" w:hAnsiTheme="minorHAnsi" w:cstheme="minorBidi"/>
          <w:sz w:val="22"/>
          <w:szCs w:val="22"/>
        </w:rPr>
        <w:t xml:space="preserve">his study will test the accuracy of existing emission inventories </w:t>
      </w:r>
      <w:r>
        <w:rPr>
          <w:rFonts w:asciiTheme="minorHAnsi" w:eastAsiaTheme="minorHAnsi" w:hAnsiTheme="minorHAnsi" w:cstheme="minorBidi"/>
          <w:sz w:val="22"/>
          <w:szCs w:val="22"/>
        </w:rPr>
        <w:t xml:space="preserve">(magnitude and speciation) </w:t>
      </w:r>
      <w:r w:rsidRPr="00DB03CA">
        <w:rPr>
          <w:rFonts w:asciiTheme="minorHAnsi" w:eastAsiaTheme="minorHAnsi" w:hAnsiTheme="minorHAnsi" w:cstheme="minorBidi"/>
          <w:sz w:val="22"/>
          <w:szCs w:val="22"/>
        </w:rPr>
        <w:t xml:space="preserve">and </w:t>
      </w:r>
      <w:r>
        <w:rPr>
          <w:rFonts w:asciiTheme="minorHAnsi" w:eastAsiaTheme="minorHAnsi" w:hAnsiTheme="minorHAnsi" w:cstheme="minorBidi"/>
          <w:sz w:val="22"/>
          <w:szCs w:val="22"/>
        </w:rPr>
        <w:t xml:space="preserve">improve </w:t>
      </w:r>
      <w:r w:rsidRPr="00DB03CA">
        <w:rPr>
          <w:rFonts w:asciiTheme="minorHAnsi" w:eastAsiaTheme="minorHAnsi" w:hAnsiTheme="minorHAnsi" w:cstheme="minorBidi"/>
          <w:sz w:val="22"/>
          <w:szCs w:val="22"/>
        </w:rPr>
        <w:t xml:space="preserve">basin-wide spatial and source-type emission speciation profiles of organic compounds. </w:t>
      </w:r>
      <w:r>
        <w:rPr>
          <w:rFonts w:asciiTheme="minorHAnsi" w:eastAsiaTheme="minorHAnsi" w:hAnsiTheme="minorHAnsi" w:cstheme="minorBidi"/>
          <w:sz w:val="22"/>
          <w:szCs w:val="22"/>
        </w:rPr>
        <w:t>It</w:t>
      </w:r>
      <w:r w:rsidRPr="00DB03CA">
        <w:rPr>
          <w:rFonts w:asciiTheme="minorHAnsi" w:eastAsiaTheme="minorHAnsi" w:hAnsiTheme="minorHAnsi" w:cstheme="minorBidi"/>
          <w:sz w:val="22"/>
          <w:szCs w:val="22"/>
        </w:rPr>
        <w:t xml:space="preserve"> will also provide valuable measurement data for improving emission inventory and photochemical model development.</w:t>
      </w:r>
    </w:p>
    <w:p w14:paraId="56FF7EE9" w14:textId="77777777" w:rsidR="00DD1F8A" w:rsidRPr="00DB03CA" w:rsidRDefault="00DD1F8A" w:rsidP="00DD1F8A">
      <w:pPr>
        <w:rPr>
          <w:b/>
          <w:sz w:val="26"/>
        </w:rPr>
      </w:pPr>
      <w:r w:rsidRPr="00DB03CA">
        <w:rPr>
          <w:b/>
          <w:sz w:val="26"/>
        </w:rPr>
        <w:t>Deliverables</w:t>
      </w:r>
    </w:p>
    <w:p w14:paraId="22B49C19" w14:textId="77777777" w:rsidR="00DD1F8A" w:rsidRDefault="00DD1F8A" w:rsidP="00DD1F8A">
      <w:pPr>
        <w:rPr>
          <w:rFonts w:ascii="Calibri" w:hAnsi="Calibri" w:cs="Calibri"/>
        </w:rPr>
      </w:pPr>
      <w:r>
        <w:rPr>
          <w:rFonts w:ascii="Calibri" w:hAnsi="Calibri" w:cs="Calibri"/>
        </w:rPr>
        <w:t>This project will result in the deliverables shown in Table 1.</w:t>
      </w:r>
    </w:p>
    <w:p w14:paraId="05D52156" w14:textId="77777777" w:rsidR="00DD1F8A" w:rsidRPr="00DB03CA" w:rsidRDefault="00DD1F8A" w:rsidP="00DD1F8A">
      <w:pPr>
        <w:rPr>
          <w:b/>
        </w:rPr>
      </w:pPr>
      <w:r>
        <w:rPr>
          <w:rFonts w:ascii="Calibri" w:hAnsi="Calibri" w:cs="Calibri"/>
        </w:rPr>
        <w:t xml:space="preserve">Table 1. </w:t>
      </w:r>
      <w:r w:rsidRPr="00FD3084">
        <w:rPr>
          <w:rFonts w:ascii="Calibri" w:hAnsi="Calibri" w:cs="Calibri"/>
        </w:rPr>
        <w:t>Project deliverables and 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268"/>
      </w:tblGrid>
      <w:tr w:rsidR="00DD1F8A" w:rsidRPr="008F5AFE" w14:paraId="511B23E5" w14:textId="77777777" w:rsidTr="00C3682E">
        <w:trPr>
          <w:trHeight w:val="285"/>
        </w:trPr>
        <w:tc>
          <w:tcPr>
            <w:tcW w:w="0" w:type="auto"/>
            <w:shd w:val="pct12" w:color="auto" w:fill="auto"/>
            <w:noWrap/>
            <w:vAlign w:val="center"/>
            <w:hideMark/>
          </w:tcPr>
          <w:p w14:paraId="5C6C80D6" w14:textId="03AD7B74" w:rsidR="00DD1F8A" w:rsidRPr="008F5AFE" w:rsidRDefault="00C3682E" w:rsidP="003C1A27">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DELIVERABLE</w:t>
            </w:r>
          </w:p>
        </w:tc>
        <w:tc>
          <w:tcPr>
            <w:tcW w:w="0" w:type="auto"/>
            <w:shd w:val="pct12" w:color="auto" w:fill="auto"/>
            <w:noWrap/>
            <w:vAlign w:val="center"/>
            <w:hideMark/>
          </w:tcPr>
          <w:p w14:paraId="49976C1B" w14:textId="78592965" w:rsidR="00DD1F8A" w:rsidRPr="008F5AFE" w:rsidRDefault="00C3682E" w:rsidP="003C1A27">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DUE DATE</w:t>
            </w:r>
          </w:p>
        </w:tc>
      </w:tr>
      <w:tr w:rsidR="00DD1F8A" w:rsidRPr="008F5AFE" w14:paraId="04C1F9EE" w14:textId="77777777" w:rsidTr="00DD1F8A">
        <w:trPr>
          <w:trHeight w:val="285"/>
        </w:trPr>
        <w:tc>
          <w:tcPr>
            <w:tcW w:w="0" w:type="auto"/>
            <w:shd w:val="clear" w:color="auto" w:fill="auto"/>
            <w:noWrap/>
            <w:vAlign w:val="center"/>
            <w:hideMark/>
          </w:tcPr>
          <w:p w14:paraId="193CEB19"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 xml:space="preserve">Final </w:t>
            </w:r>
            <w:proofErr w:type="spellStart"/>
            <w:r w:rsidRPr="008F5AFE">
              <w:rPr>
                <w:rFonts w:ascii="Calibri" w:eastAsia="Times New Roman" w:hAnsi="Calibri" w:cs="Calibri"/>
                <w:color w:val="000000"/>
                <w:sz w:val="20"/>
                <w:szCs w:val="20"/>
              </w:rPr>
              <w:t>speciated</w:t>
            </w:r>
            <w:proofErr w:type="spellEnd"/>
            <w:r w:rsidRPr="008F5AFE">
              <w:rPr>
                <w:rFonts w:ascii="Calibri" w:eastAsia="Times New Roman" w:hAnsi="Calibri" w:cs="Calibri"/>
                <w:color w:val="000000"/>
                <w:sz w:val="20"/>
                <w:szCs w:val="20"/>
              </w:rPr>
              <w:t xml:space="preserve"> organic compound concentration dataset </w:t>
            </w:r>
          </w:p>
        </w:tc>
        <w:tc>
          <w:tcPr>
            <w:tcW w:w="0" w:type="auto"/>
            <w:shd w:val="clear" w:color="auto" w:fill="auto"/>
            <w:noWrap/>
            <w:vAlign w:val="center"/>
            <w:hideMark/>
          </w:tcPr>
          <w:p w14:paraId="5113EEEE"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May 2020</w:t>
            </w:r>
          </w:p>
        </w:tc>
      </w:tr>
      <w:tr w:rsidR="00DD1F8A" w:rsidRPr="008F5AFE" w14:paraId="527CB617" w14:textId="77777777" w:rsidTr="00DD1F8A">
        <w:trPr>
          <w:trHeight w:val="285"/>
        </w:trPr>
        <w:tc>
          <w:tcPr>
            <w:tcW w:w="0" w:type="auto"/>
            <w:shd w:val="clear" w:color="auto" w:fill="auto"/>
            <w:noWrap/>
            <w:vAlign w:val="center"/>
            <w:hideMark/>
          </w:tcPr>
          <w:p w14:paraId="209DCE4B"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Low-cost sensor dataset</w:t>
            </w:r>
          </w:p>
        </w:tc>
        <w:tc>
          <w:tcPr>
            <w:tcW w:w="0" w:type="auto"/>
            <w:shd w:val="clear" w:color="auto" w:fill="auto"/>
            <w:noWrap/>
            <w:vAlign w:val="center"/>
            <w:hideMark/>
          </w:tcPr>
          <w:p w14:paraId="60FFDAE0"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May 2020</w:t>
            </w:r>
          </w:p>
        </w:tc>
      </w:tr>
      <w:tr w:rsidR="00DD1F8A" w:rsidRPr="008F5AFE" w14:paraId="3CBC48FE" w14:textId="77777777" w:rsidTr="00DD1F8A">
        <w:trPr>
          <w:trHeight w:val="285"/>
        </w:trPr>
        <w:tc>
          <w:tcPr>
            <w:tcW w:w="0" w:type="auto"/>
            <w:shd w:val="clear" w:color="auto" w:fill="auto"/>
            <w:noWrap/>
            <w:vAlign w:val="center"/>
            <w:hideMark/>
          </w:tcPr>
          <w:p w14:paraId="15626DB8"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Top-down emission inventory</w:t>
            </w:r>
          </w:p>
        </w:tc>
        <w:tc>
          <w:tcPr>
            <w:tcW w:w="0" w:type="auto"/>
            <w:shd w:val="clear" w:color="auto" w:fill="auto"/>
            <w:noWrap/>
            <w:vAlign w:val="center"/>
            <w:hideMark/>
          </w:tcPr>
          <w:p w14:paraId="7C17EBC1"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July 2020</w:t>
            </w:r>
          </w:p>
        </w:tc>
      </w:tr>
      <w:tr w:rsidR="00DD1F8A" w:rsidRPr="008F5AFE" w14:paraId="1A3745E6" w14:textId="77777777" w:rsidTr="00DD1F8A">
        <w:trPr>
          <w:trHeight w:val="285"/>
        </w:trPr>
        <w:tc>
          <w:tcPr>
            <w:tcW w:w="0" w:type="auto"/>
            <w:shd w:val="clear" w:color="auto" w:fill="auto"/>
            <w:noWrap/>
            <w:vAlign w:val="center"/>
            <w:hideMark/>
          </w:tcPr>
          <w:p w14:paraId="1E49181C"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Spatial and source-type organic compound speciation profile dataset</w:t>
            </w:r>
          </w:p>
        </w:tc>
        <w:tc>
          <w:tcPr>
            <w:tcW w:w="0" w:type="auto"/>
            <w:shd w:val="clear" w:color="auto" w:fill="auto"/>
            <w:noWrap/>
            <w:vAlign w:val="center"/>
            <w:hideMark/>
          </w:tcPr>
          <w:p w14:paraId="752EA9DC" w14:textId="52CA7010" w:rsidR="00DD1F8A" w:rsidRPr="008F5AFE" w:rsidRDefault="00DD1F8A" w:rsidP="00344283">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60 days after organic compound composition data are available, data will be stored on this project archive storage space on University of Utah CHPC for UDAQ’s use and available for public use (per request</w:t>
            </w:r>
            <w:r w:rsidR="00344283">
              <w:rPr>
                <w:rFonts w:ascii="Calibri" w:eastAsia="Times New Roman" w:hAnsi="Calibri" w:cs="Calibri"/>
                <w:color w:val="000000"/>
                <w:sz w:val="20"/>
                <w:szCs w:val="20"/>
              </w:rPr>
              <w:t xml:space="preserve"> submitted </w:t>
            </w:r>
            <w:r w:rsidRPr="008F5AFE">
              <w:rPr>
                <w:rFonts w:ascii="Calibri" w:eastAsia="Times New Roman" w:hAnsi="Calibri" w:cs="Calibri"/>
                <w:color w:val="000000"/>
                <w:sz w:val="20"/>
                <w:szCs w:val="20"/>
              </w:rPr>
              <w:t>on BRC webpage</w:t>
            </w:r>
            <w:r w:rsidR="00344283">
              <w:rPr>
                <w:rFonts w:ascii="Calibri" w:eastAsia="Times New Roman" w:hAnsi="Calibri" w:cs="Calibri"/>
                <w:color w:val="000000"/>
                <w:sz w:val="20"/>
                <w:szCs w:val="20"/>
              </w:rPr>
              <w:t>)</w:t>
            </w:r>
          </w:p>
        </w:tc>
      </w:tr>
      <w:tr w:rsidR="00DD1F8A" w:rsidRPr="008F5AFE" w14:paraId="4B405842" w14:textId="77777777" w:rsidTr="00DD1F8A">
        <w:trPr>
          <w:trHeight w:val="285"/>
        </w:trPr>
        <w:tc>
          <w:tcPr>
            <w:tcW w:w="0" w:type="auto"/>
            <w:shd w:val="clear" w:color="auto" w:fill="auto"/>
            <w:noWrap/>
            <w:vAlign w:val="center"/>
            <w:hideMark/>
          </w:tcPr>
          <w:p w14:paraId="55814E76"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SMOKE-processed emission input/output files</w:t>
            </w:r>
          </w:p>
        </w:tc>
        <w:tc>
          <w:tcPr>
            <w:tcW w:w="0" w:type="auto"/>
            <w:shd w:val="clear" w:color="auto" w:fill="auto"/>
            <w:noWrap/>
            <w:vAlign w:val="center"/>
            <w:hideMark/>
          </w:tcPr>
          <w:p w14:paraId="5CABF0C3" w14:textId="02D1D382" w:rsidR="00DD1F8A" w:rsidRPr="008F5AFE" w:rsidRDefault="00DD1F8A" w:rsidP="00344283">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30 days after Spatial and source-type organic compound speciation profile dataset is built, data will be stored on this project archive storage space on University of Utah CHPC for UDAQ’s use and available for public use (per request</w:t>
            </w:r>
            <w:r w:rsidR="00344283">
              <w:rPr>
                <w:rFonts w:ascii="Calibri" w:eastAsia="Times New Roman" w:hAnsi="Calibri" w:cs="Calibri"/>
                <w:color w:val="000000"/>
                <w:sz w:val="20"/>
                <w:szCs w:val="20"/>
              </w:rPr>
              <w:t xml:space="preserve"> submitted</w:t>
            </w:r>
            <w:r w:rsidRPr="008F5AFE">
              <w:rPr>
                <w:rFonts w:ascii="Calibri" w:eastAsia="Times New Roman" w:hAnsi="Calibri" w:cs="Calibri"/>
                <w:color w:val="000000"/>
                <w:sz w:val="20"/>
                <w:szCs w:val="20"/>
              </w:rPr>
              <w:t xml:space="preserve"> on BRC webpage</w:t>
            </w:r>
            <w:r w:rsidR="00344283">
              <w:rPr>
                <w:rFonts w:ascii="Calibri" w:eastAsia="Times New Roman" w:hAnsi="Calibri" w:cs="Calibri"/>
                <w:color w:val="000000"/>
                <w:sz w:val="20"/>
                <w:szCs w:val="20"/>
              </w:rPr>
              <w:t>)</w:t>
            </w:r>
          </w:p>
        </w:tc>
      </w:tr>
      <w:tr w:rsidR="00DD1F8A" w:rsidRPr="008F5AFE" w14:paraId="55CAB378" w14:textId="77777777" w:rsidTr="00DD1F8A">
        <w:trPr>
          <w:trHeight w:val="285"/>
        </w:trPr>
        <w:tc>
          <w:tcPr>
            <w:tcW w:w="0" w:type="auto"/>
            <w:shd w:val="clear" w:color="auto" w:fill="auto"/>
            <w:noWrap/>
            <w:vAlign w:val="center"/>
            <w:hideMark/>
          </w:tcPr>
          <w:p w14:paraId="7E86B9A2"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WRF-</w:t>
            </w:r>
            <w:proofErr w:type="spellStart"/>
            <w:r w:rsidRPr="008F5AFE">
              <w:rPr>
                <w:rFonts w:ascii="Calibri" w:eastAsia="Times New Roman" w:hAnsi="Calibri" w:cs="Calibri"/>
                <w:color w:val="000000"/>
                <w:sz w:val="20"/>
                <w:szCs w:val="20"/>
              </w:rPr>
              <w:t>CAMx</w:t>
            </w:r>
            <w:proofErr w:type="spellEnd"/>
            <w:r w:rsidRPr="008F5AFE">
              <w:rPr>
                <w:rFonts w:ascii="Calibri" w:eastAsia="Times New Roman" w:hAnsi="Calibri" w:cs="Calibri"/>
                <w:color w:val="000000"/>
                <w:sz w:val="20"/>
                <w:szCs w:val="20"/>
              </w:rPr>
              <w:t xml:space="preserve"> configuration, input and output files</w:t>
            </w:r>
          </w:p>
        </w:tc>
        <w:tc>
          <w:tcPr>
            <w:tcW w:w="0" w:type="auto"/>
            <w:shd w:val="clear" w:color="auto" w:fill="auto"/>
            <w:noWrap/>
            <w:vAlign w:val="center"/>
            <w:hideMark/>
          </w:tcPr>
          <w:p w14:paraId="118C7E01" w14:textId="5CD75874" w:rsidR="00DD1F8A" w:rsidRPr="008F5AFE" w:rsidRDefault="00DD1F8A" w:rsidP="00344283">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90 days after SMOKE-processed emission files are ready, data will be stored on this project archive storage space on University of Utah CHPC for UDAQ’s use and available for public use (per request</w:t>
            </w:r>
            <w:r w:rsidR="00344283">
              <w:rPr>
                <w:rFonts w:ascii="Calibri" w:eastAsia="Times New Roman" w:hAnsi="Calibri" w:cs="Calibri"/>
                <w:color w:val="000000"/>
                <w:sz w:val="20"/>
                <w:szCs w:val="20"/>
              </w:rPr>
              <w:t xml:space="preserve"> submitted</w:t>
            </w:r>
            <w:r w:rsidR="00344283" w:rsidRPr="008F5AFE">
              <w:rPr>
                <w:rFonts w:ascii="Calibri" w:eastAsia="Times New Roman" w:hAnsi="Calibri" w:cs="Calibri"/>
                <w:color w:val="000000"/>
                <w:sz w:val="20"/>
                <w:szCs w:val="20"/>
              </w:rPr>
              <w:t xml:space="preserve"> </w:t>
            </w:r>
            <w:r w:rsidRPr="008F5AFE">
              <w:rPr>
                <w:rFonts w:ascii="Calibri" w:eastAsia="Times New Roman" w:hAnsi="Calibri" w:cs="Calibri"/>
                <w:color w:val="000000"/>
                <w:sz w:val="20"/>
                <w:szCs w:val="20"/>
              </w:rPr>
              <w:t>on BRC webpage</w:t>
            </w:r>
            <w:r w:rsidR="00344283">
              <w:rPr>
                <w:rFonts w:ascii="Calibri" w:eastAsia="Times New Roman" w:hAnsi="Calibri" w:cs="Calibri"/>
                <w:color w:val="000000"/>
                <w:sz w:val="20"/>
                <w:szCs w:val="20"/>
              </w:rPr>
              <w:t>)</w:t>
            </w:r>
          </w:p>
        </w:tc>
      </w:tr>
      <w:tr w:rsidR="00DD1F8A" w:rsidRPr="008F5AFE" w14:paraId="025167EE" w14:textId="77777777" w:rsidTr="00DD1F8A">
        <w:trPr>
          <w:trHeight w:val="285"/>
        </w:trPr>
        <w:tc>
          <w:tcPr>
            <w:tcW w:w="0" w:type="auto"/>
            <w:shd w:val="clear" w:color="auto" w:fill="auto"/>
            <w:noWrap/>
            <w:vAlign w:val="center"/>
            <w:hideMark/>
          </w:tcPr>
          <w:p w14:paraId="5C53EAE4"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Quarterly reports</w:t>
            </w:r>
          </w:p>
        </w:tc>
        <w:tc>
          <w:tcPr>
            <w:tcW w:w="0" w:type="auto"/>
            <w:shd w:val="clear" w:color="auto" w:fill="auto"/>
            <w:noWrap/>
            <w:vAlign w:val="center"/>
            <w:hideMark/>
          </w:tcPr>
          <w:p w14:paraId="1A67270A"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90, 180, 270, 360, 450 and 540 days after the project begins</w:t>
            </w:r>
          </w:p>
        </w:tc>
      </w:tr>
      <w:tr w:rsidR="00DD1F8A" w:rsidRPr="008F5AFE" w14:paraId="046B13B5" w14:textId="77777777" w:rsidTr="00DD1F8A">
        <w:trPr>
          <w:trHeight w:val="285"/>
        </w:trPr>
        <w:tc>
          <w:tcPr>
            <w:tcW w:w="0" w:type="auto"/>
            <w:shd w:val="clear" w:color="auto" w:fill="auto"/>
            <w:noWrap/>
            <w:vAlign w:val="center"/>
            <w:hideMark/>
          </w:tcPr>
          <w:p w14:paraId="080CB8E8"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Draft final report</w:t>
            </w:r>
          </w:p>
        </w:tc>
        <w:tc>
          <w:tcPr>
            <w:tcW w:w="0" w:type="auto"/>
            <w:shd w:val="clear" w:color="auto" w:fill="auto"/>
            <w:noWrap/>
            <w:vAlign w:val="center"/>
            <w:hideMark/>
          </w:tcPr>
          <w:p w14:paraId="6B1E4C89"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60 days after WRF-</w:t>
            </w:r>
            <w:proofErr w:type="spellStart"/>
            <w:r w:rsidRPr="008F5AFE">
              <w:rPr>
                <w:rFonts w:ascii="Calibri" w:eastAsia="Times New Roman" w:hAnsi="Calibri" w:cs="Calibri"/>
                <w:color w:val="000000"/>
                <w:sz w:val="20"/>
                <w:szCs w:val="20"/>
              </w:rPr>
              <w:t>CAMx</w:t>
            </w:r>
            <w:proofErr w:type="spellEnd"/>
            <w:r w:rsidRPr="008F5AFE">
              <w:rPr>
                <w:rFonts w:ascii="Calibri" w:eastAsia="Times New Roman" w:hAnsi="Calibri" w:cs="Calibri"/>
                <w:color w:val="000000"/>
                <w:sz w:val="20"/>
                <w:szCs w:val="20"/>
              </w:rPr>
              <w:t xml:space="preserve"> simulations finished</w:t>
            </w:r>
          </w:p>
        </w:tc>
      </w:tr>
      <w:tr w:rsidR="00DD1F8A" w:rsidRPr="008F5AFE" w14:paraId="09B35D84" w14:textId="77777777" w:rsidTr="00DD1F8A">
        <w:trPr>
          <w:trHeight w:val="285"/>
        </w:trPr>
        <w:tc>
          <w:tcPr>
            <w:tcW w:w="0" w:type="auto"/>
            <w:shd w:val="clear" w:color="auto" w:fill="auto"/>
            <w:noWrap/>
            <w:vAlign w:val="center"/>
            <w:hideMark/>
          </w:tcPr>
          <w:p w14:paraId="1ADFB955"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Final Report</w:t>
            </w:r>
          </w:p>
        </w:tc>
        <w:tc>
          <w:tcPr>
            <w:tcW w:w="0" w:type="auto"/>
            <w:shd w:val="clear" w:color="auto" w:fill="auto"/>
            <w:noWrap/>
            <w:vAlign w:val="center"/>
            <w:hideMark/>
          </w:tcPr>
          <w:p w14:paraId="13D5BCA9" w14:textId="77777777" w:rsidR="00DD1F8A" w:rsidRPr="008F5AFE" w:rsidRDefault="00DD1F8A" w:rsidP="003C1A27">
            <w:pPr>
              <w:spacing w:after="0" w:line="240" w:lineRule="auto"/>
              <w:rPr>
                <w:rFonts w:ascii="Calibri" w:eastAsia="Times New Roman" w:hAnsi="Calibri" w:cs="Calibri"/>
                <w:color w:val="000000"/>
                <w:sz w:val="20"/>
                <w:szCs w:val="20"/>
              </w:rPr>
            </w:pPr>
            <w:r w:rsidRPr="008F5AFE">
              <w:rPr>
                <w:rFonts w:ascii="Calibri" w:eastAsia="Times New Roman" w:hAnsi="Calibri" w:cs="Calibri"/>
                <w:color w:val="000000"/>
                <w:sz w:val="20"/>
                <w:szCs w:val="20"/>
              </w:rPr>
              <w:t xml:space="preserve">60 days after </w:t>
            </w:r>
            <w:r w:rsidRPr="008F5AFE">
              <w:rPr>
                <w:rFonts w:ascii="Calibri" w:eastAsia="Times New Roman" w:hAnsi="Calibri" w:cs="Calibri"/>
                <w:noProof/>
                <w:color w:val="000000"/>
                <w:sz w:val="20"/>
                <w:szCs w:val="20"/>
              </w:rPr>
              <w:t>release</w:t>
            </w:r>
            <w:r w:rsidRPr="008F5AFE">
              <w:rPr>
                <w:rFonts w:ascii="Calibri" w:eastAsia="Times New Roman" w:hAnsi="Calibri" w:cs="Calibri"/>
                <w:color w:val="000000"/>
                <w:sz w:val="20"/>
                <w:szCs w:val="20"/>
              </w:rPr>
              <w:t xml:space="preserve"> of </w:t>
            </w:r>
            <w:r w:rsidRPr="008F5AFE">
              <w:rPr>
                <w:rFonts w:ascii="Calibri" w:eastAsia="Times New Roman" w:hAnsi="Calibri" w:cs="Calibri"/>
                <w:noProof/>
                <w:color w:val="000000"/>
                <w:sz w:val="20"/>
                <w:szCs w:val="20"/>
              </w:rPr>
              <w:t>draft</w:t>
            </w:r>
            <w:r w:rsidRPr="008F5AFE">
              <w:rPr>
                <w:rFonts w:ascii="Calibri" w:eastAsia="Times New Roman" w:hAnsi="Calibri" w:cs="Calibri"/>
                <w:color w:val="000000"/>
                <w:sz w:val="20"/>
                <w:szCs w:val="20"/>
              </w:rPr>
              <w:t xml:space="preserve"> report</w:t>
            </w:r>
          </w:p>
        </w:tc>
      </w:tr>
    </w:tbl>
    <w:p w14:paraId="41173452" w14:textId="77777777" w:rsidR="00DD1F8A" w:rsidRDefault="00DD1F8A" w:rsidP="00DD1F8A">
      <w:pPr>
        <w:rPr>
          <w:color w:val="0070C0"/>
        </w:rPr>
      </w:pPr>
    </w:p>
    <w:p w14:paraId="13B41716" w14:textId="77777777" w:rsidR="00776098" w:rsidRDefault="00776098">
      <w:pPr>
        <w:rPr>
          <w:b/>
          <w:sz w:val="26"/>
        </w:rPr>
      </w:pPr>
      <w:r>
        <w:rPr>
          <w:b/>
          <w:sz w:val="26"/>
        </w:rPr>
        <w:br w:type="page"/>
      </w:r>
    </w:p>
    <w:p w14:paraId="323EFD70" w14:textId="4ECFC48C" w:rsidR="00DD1F8A" w:rsidRDefault="00DD1F8A" w:rsidP="00DD1F8A">
      <w:r w:rsidRPr="00DB03CA">
        <w:rPr>
          <w:b/>
          <w:sz w:val="26"/>
        </w:rPr>
        <w:lastRenderedPageBreak/>
        <w:t xml:space="preserve">Schedule </w:t>
      </w:r>
    </w:p>
    <w:p w14:paraId="358D8EC0" w14:textId="77777777" w:rsidR="00DD1F8A" w:rsidRDefault="00DD1F8A" w:rsidP="00DD1F8A">
      <w:pPr>
        <w:autoSpaceDE w:val="0"/>
        <w:autoSpaceDN w:val="0"/>
        <w:adjustRightInd w:val="0"/>
        <w:spacing w:after="0" w:line="240" w:lineRule="auto"/>
        <w:rPr>
          <w:rFonts w:ascii="Calibri" w:hAnsi="Calibri" w:cs="Calibri"/>
        </w:rPr>
      </w:pPr>
      <w:r>
        <w:rPr>
          <w:rFonts w:ascii="Calibri" w:hAnsi="Calibri" w:cs="Calibri"/>
        </w:rPr>
        <w:t xml:space="preserve">Table 2 shows planned milestones for the project. The project will last 21 months after field sample collection begins. </w:t>
      </w:r>
    </w:p>
    <w:p w14:paraId="12AA2628" w14:textId="77777777" w:rsidR="00DD1F8A" w:rsidRDefault="00DD1F8A" w:rsidP="00DD1F8A">
      <w:pPr>
        <w:rPr>
          <w:color w:val="FF0000"/>
        </w:rPr>
      </w:pPr>
    </w:p>
    <w:p w14:paraId="24868E2C" w14:textId="77777777" w:rsidR="00DD1F8A" w:rsidRPr="0015671F" w:rsidRDefault="00DD1F8A" w:rsidP="00DD1F8A">
      <w:pPr>
        <w:rPr>
          <w:b/>
        </w:rPr>
      </w:pPr>
      <w:r>
        <w:rPr>
          <w:rFonts w:ascii="Calibri" w:hAnsi="Calibri" w:cs="Calibri"/>
        </w:rPr>
        <w:t xml:space="preserve">Table 1. </w:t>
      </w:r>
      <w:r w:rsidRPr="00FD3084">
        <w:rPr>
          <w:rFonts w:ascii="Calibri" w:hAnsi="Calibri" w:cs="Calibri"/>
        </w:rPr>
        <w:t xml:space="preserve">Project </w:t>
      </w:r>
      <w:r>
        <w:rPr>
          <w:rFonts w:ascii="Calibri" w:hAnsi="Calibri" w:cs="Calibri"/>
        </w:rPr>
        <w:t>schedule for milestones and date</w:t>
      </w:r>
      <w:r w:rsidRPr="00FD3084">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50"/>
        <w:gridCol w:w="5390"/>
      </w:tblGrid>
      <w:tr w:rsidR="00DD1F8A" w:rsidRPr="00330E02" w14:paraId="29CC81F7" w14:textId="77777777" w:rsidTr="00C3682E">
        <w:trPr>
          <w:trHeight w:val="308"/>
        </w:trPr>
        <w:tc>
          <w:tcPr>
            <w:tcW w:w="3950" w:type="dxa"/>
            <w:shd w:val="pct12" w:color="auto" w:fill="auto"/>
            <w:tcMar>
              <w:top w:w="15" w:type="dxa"/>
              <w:left w:w="15" w:type="dxa"/>
              <w:bottom w:w="0" w:type="dxa"/>
              <w:right w:w="15" w:type="dxa"/>
            </w:tcMar>
            <w:vAlign w:val="center"/>
            <w:hideMark/>
          </w:tcPr>
          <w:p w14:paraId="5908E5F4" w14:textId="77777777" w:rsidR="00DD1F8A" w:rsidRPr="00330E02" w:rsidRDefault="00DD1F8A" w:rsidP="003C1A27">
            <w:pPr>
              <w:rPr>
                <w:b/>
                <w:sz w:val="20"/>
                <w:szCs w:val="20"/>
              </w:rPr>
            </w:pPr>
            <w:r w:rsidRPr="00330E02">
              <w:rPr>
                <w:b/>
                <w:sz w:val="20"/>
                <w:szCs w:val="20"/>
              </w:rPr>
              <w:t>DATE</w:t>
            </w:r>
          </w:p>
        </w:tc>
        <w:tc>
          <w:tcPr>
            <w:tcW w:w="5390" w:type="dxa"/>
            <w:shd w:val="pct12" w:color="auto" w:fill="auto"/>
            <w:tcMar>
              <w:top w:w="15" w:type="dxa"/>
              <w:left w:w="15" w:type="dxa"/>
              <w:bottom w:w="0" w:type="dxa"/>
              <w:right w:w="15" w:type="dxa"/>
            </w:tcMar>
            <w:vAlign w:val="center"/>
            <w:hideMark/>
          </w:tcPr>
          <w:p w14:paraId="456AB5C8" w14:textId="77777777" w:rsidR="00DD1F8A" w:rsidRPr="00330E02" w:rsidRDefault="00DD1F8A" w:rsidP="003C1A27">
            <w:pPr>
              <w:rPr>
                <w:b/>
                <w:sz w:val="20"/>
                <w:szCs w:val="20"/>
              </w:rPr>
            </w:pPr>
            <w:r w:rsidRPr="00330E02">
              <w:rPr>
                <w:b/>
                <w:sz w:val="20"/>
                <w:szCs w:val="20"/>
              </w:rPr>
              <w:t>MILESTONE</w:t>
            </w:r>
          </w:p>
        </w:tc>
      </w:tr>
      <w:tr w:rsidR="00DD1F8A" w:rsidRPr="00330E02" w14:paraId="7C5305A1" w14:textId="77777777" w:rsidTr="003C1A27">
        <w:trPr>
          <w:trHeight w:val="308"/>
        </w:trPr>
        <w:tc>
          <w:tcPr>
            <w:tcW w:w="3950" w:type="dxa"/>
            <w:shd w:val="clear" w:color="auto" w:fill="auto"/>
            <w:tcMar>
              <w:top w:w="15" w:type="dxa"/>
              <w:left w:w="15" w:type="dxa"/>
              <w:bottom w:w="0" w:type="dxa"/>
              <w:right w:w="15" w:type="dxa"/>
            </w:tcMar>
            <w:vAlign w:val="center"/>
            <w:hideMark/>
          </w:tcPr>
          <w:p w14:paraId="25A29F13" w14:textId="77777777" w:rsidR="00DD1F8A" w:rsidRPr="00330E02" w:rsidRDefault="00DD1F8A" w:rsidP="003C1A27">
            <w:pPr>
              <w:rPr>
                <w:sz w:val="20"/>
                <w:szCs w:val="20"/>
              </w:rPr>
            </w:pPr>
            <w:r w:rsidRPr="00330E02">
              <w:rPr>
                <w:sz w:val="20"/>
                <w:szCs w:val="20"/>
              </w:rPr>
              <w:t>7/1/2019 to 10/31/2019</w:t>
            </w:r>
          </w:p>
        </w:tc>
        <w:tc>
          <w:tcPr>
            <w:tcW w:w="5390" w:type="dxa"/>
            <w:shd w:val="clear" w:color="auto" w:fill="auto"/>
            <w:noWrap/>
            <w:tcMar>
              <w:top w:w="15" w:type="dxa"/>
              <w:left w:w="15" w:type="dxa"/>
              <w:bottom w:w="0" w:type="dxa"/>
              <w:right w:w="15" w:type="dxa"/>
            </w:tcMar>
            <w:vAlign w:val="bottom"/>
            <w:hideMark/>
          </w:tcPr>
          <w:p w14:paraId="6ABD542C" w14:textId="77777777" w:rsidR="00DD1F8A" w:rsidRPr="00330E02" w:rsidRDefault="00DD1F8A" w:rsidP="003C1A27">
            <w:pPr>
              <w:rPr>
                <w:sz w:val="20"/>
                <w:szCs w:val="20"/>
              </w:rPr>
            </w:pPr>
            <w:r w:rsidRPr="00330E02">
              <w:rPr>
                <w:sz w:val="20"/>
                <w:szCs w:val="20"/>
              </w:rPr>
              <w:t xml:space="preserve">Sampling station and low-cost sensor construction and testing </w:t>
            </w:r>
          </w:p>
        </w:tc>
      </w:tr>
      <w:tr w:rsidR="00DD1F8A" w:rsidRPr="00330E02" w14:paraId="4CAADB60" w14:textId="77777777" w:rsidTr="003C1A27">
        <w:trPr>
          <w:trHeight w:val="308"/>
        </w:trPr>
        <w:tc>
          <w:tcPr>
            <w:tcW w:w="3950" w:type="dxa"/>
            <w:shd w:val="clear" w:color="auto" w:fill="auto"/>
            <w:tcMar>
              <w:top w:w="15" w:type="dxa"/>
              <w:left w:w="15" w:type="dxa"/>
              <w:bottom w:w="0" w:type="dxa"/>
              <w:right w:w="15" w:type="dxa"/>
            </w:tcMar>
            <w:vAlign w:val="center"/>
            <w:hideMark/>
          </w:tcPr>
          <w:p w14:paraId="180BF60A" w14:textId="77777777" w:rsidR="00DD1F8A" w:rsidRPr="00330E02" w:rsidRDefault="00DD1F8A" w:rsidP="003C1A27">
            <w:pPr>
              <w:rPr>
                <w:sz w:val="20"/>
                <w:szCs w:val="20"/>
              </w:rPr>
            </w:pPr>
            <w:r w:rsidRPr="00330E02">
              <w:rPr>
                <w:sz w:val="20"/>
                <w:szCs w:val="20"/>
              </w:rPr>
              <w:t>11/1/2019 to 3/31/2020</w:t>
            </w:r>
          </w:p>
        </w:tc>
        <w:tc>
          <w:tcPr>
            <w:tcW w:w="5390" w:type="dxa"/>
            <w:shd w:val="clear" w:color="auto" w:fill="auto"/>
            <w:tcMar>
              <w:top w:w="15" w:type="dxa"/>
              <w:left w:w="15" w:type="dxa"/>
              <w:bottom w:w="0" w:type="dxa"/>
              <w:right w:w="15" w:type="dxa"/>
            </w:tcMar>
            <w:vAlign w:val="center"/>
            <w:hideMark/>
          </w:tcPr>
          <w:p w14:paraId="1DEA9D8D" w14:textId="77777777" w:rsidR="00DD1F8A" w:rsidRPr="00330E02" w:rsidRDefault="00DD1F8A" w:rsidP="003C1A27">
            <w:pPr>
              <w:rPr>
                <w:sz w:val="20"/>
                <w:szCs w:val="20"/>
              </w:rPr>
            </w:pPr>
            <w:r w:rsidRPr="00330E02">
              <w:rPr>
                <w:sz w:val="20"/>
                <w:szCs w:val="20"/>
              </w:rPr>
              <w:t>Deployments and laboratory analysis</w:t>
            </w:r>
          </w:p>
        </w:tc>
      </w:tr>
      <w:tr w:rsidR="00DD1F8A" w:rsidRPr="00330E02" w14:paraId="0B02B1D0" w14:textId="77777777" w:rsidTr="003C1A27">
        <w:trPr>
          <w:trHeight w:val="308"/>
        </w:trPr>
        <w:tc>
          <w:tcPr>
            <w:tcW w:w="3950" w:type="dxa"/>
            <w:shd w:val="clear" w:color="auto" w:fill="auto"/>
            <w:tcMar>
              <w:top w:w="15" w:type="dxa"/>
              <w:left w:w="15" w:type="dxa"/>
              <w:bottom w:w="0" w:type="dxa"/>
              <w:right w:w="15" w:type="dxa"/>
            </w:tcMar>
            <w:vAlign w:val="center"/>
            <w:hideMark/>
          </w:tcPr>
          <w:p w14:paraId="51AED1B5" w14:textId="77777777" w:rsidR="00DD1F8A" w:rsidRPr="00330E02" w:rsidRDefault="00DD1F8A" w:rsidP="003C1A27">
            <w:pPr>
              <w:rPr>
                <w:sz w:val="20"/>
                <w:szCs w:val="20"/>
              </w:rPr>
            </w:pPr>
            <w:r w:rsidRPr="00330E02">
              <w:rPr>
                <w:sz w:val="20"/>
                <w:szCs w:val="20"/>
              </w:rPr>
              <w:t>4/1/2020 to 6/30/2020</w:t>
            </w:r>
          </w:p>
        </w:tc>
        <w:tc>
          <w:tcPr>
            <w:tcW w:w="5390" w:type="dxa"/>
            <w:shd w:val="clear" w:color="auto" w:fill="auto"/>
            <w:noWrap/>
            <w:tcMar>
              <w:top w:w="15" w:type="dxa"/>
              <w:left w:w="15" w:type="dxa"/>
              <w:bottom w:w="0" w:type="dxa"/>
              <w:right w:w="15" w:type="dxa"/>
            </w:tcMar>
            <w:vAlign w:val="bottom"/>
            <w:hideMark/>
          </w:tcPr>
          <w:p w14:paraId="3AAFF2CF" w14:textId="6966DB0C" w:rsidR="00DD1F8A" w:rsidRPr="00330E02" w:rsidRDefault="00DD1F8A" w:rsidP="003C1A27">
            <w:pPr>
              <w:rPr>
                <w:sz w:val="20"/>
                <w:szCs w:val="20"/>
              </w:rPr>
            </w:pPr>
            <w:r w:rsidRPr="00330E02">
              <w:rPr>
                <w:sz w:val="20"/>
                <w:szCs w:val="20"/>
              </w:rPr>
              <w:t xml:space="preserve">Data analysis, emission inventory development, receptor modeling </w:t>
            </w:r>
            <w:r w:rsidRPr="00330E02">
              <w:rPr>
                <w:noProof/>
                <w:sz w:val="20"/>
                <w:szCs w:val="20"/>
              </w:rPr>
              <w:t>and</w:t>
            </w:r>
            <w:r w:rsidRPr="00330E02">
              <w:rPr>
                <w:sz w:val="20"/>
                <w:szCs w:val="20"/>
              </w:rPr>
              <w:t xml:space="preserve"> photochemical modeling</w:t>
            </w:r>
            <w:r w:rsidR="003C5930">
              <w:rPr>
                <w:sz w:val="20"/>
                <w:szCs w:val="20"/>
              </w:rPr>
              <w:t xml:space="preserve"> preparation</w:t>
            </w:r>
          </w:p>
        </w:tc>
      </w:tr>
      <w:tr w:rsidR="00DD1F8A" w:rsidRPr="00330E02" w14:paraId="671FD9F0" w14:textId="77777777" w:rsidTr="003C1A27">
        <w:trPr>
          <w:trHeight w:val="308"/>
        </w:trPr>
        <w:tc>
          <w:tcPr>
            <w:tcW w:w="3950" w:type="dxa"/>
            <w:shd w:val="clear" w:color="auto" w:fill="auto"/>
            <w:tcMar>
              <w:top w:w="15" w:type="dxa"/>
              <w:left w:w="15" w:type="dxa"/>
              <w:bottom w:w="0" w:type="dxa"/>
              <w:right w:w="15" w:type="dxa"/>
            </w:tcMar>
            <w:vAlign w:val="center"/>
            <w:hideMark/>
          </w:tcPr>
          <w:p w14:paraId="016C3E66" w14:textId="77777777" w:rsidR="00DD1F8A" w:rsidRPr="00330E02" w:rsidRDefault="00DD1F8A" w:rsidP="003C1A27">
            <w:pPr>
              <w:rPr>
                <w:sz w:val="20"/>
                <w:szCs w:val="20"/>
              </w:rPr>
            </w:pPr>
            <w:r w:rsidRPr="00330E02">
              <w:rPr>
                <w:sz w:val="20"/>
                <w:szCs w:val="20"/>
              </w:rPr>
              <w:t>7/1/2020 to 3/31/2021</w:t>
            </w:r>
          </w:p>
        </w:tc>
        <w:tc>
          <w:tcPr>
            <w:tcW w:w="5390" w:type="dxa"/>
            <w:shd w:val="clear" w:color="auto" w:fill="auto"/>
            <w:noWrap/>
            <w:tcMar>
              <w:top w:w="15" w:type="dxa"/>
              <w:left w:w="15" w:type="dxa"/>
              <w:bottom w:w="0" w:type="dxa"/>
              <w:right w:w="15" w:type="dxa"/>
            </w:tcMar>
            <w:vAlign w:val="bottom"/>
            <w:hideMark/>
          </w:tcPr>
          <w:p w14:paraId="30A28D9F" w14:textId="285A5AE7" w:rsidR="00DD1F8A" w:rsidRPr="00330E02" w:rsidRDefault="00DD1F8A" w:rsidP="003C1A27">
            <w:pPr>
              <w:rPr>
                <w:sz w:val="20"/>
                <w:szCs w:val="20"/>
              </w:rPr>
            </w:pPr>
            <w:r w:rsidRPr="00330E02">
              <w:rPr>
                <w:sz w:val="20"/>
                <w:szCs w:val="20"/>
              </w:rPr>
              <w:t>Receptor modeling and photochemical modeling</w:t>
            </w:r>
            <w:r w:rsidR="00514C3E" w:rsidRPr="00514C3E">
              <w:rPr>
                <w:sz w:val="20"/>
                <w:szCs w:val="20"/>
              </w:rPr>
              <w:t>: doing simulations, data analysis, writing reports</w:t>
            </w:r>
          </w:p>
        </w:tc>
      </w:tr>
      <w:tr w:rsidR="00DD1F8A" w:rsidRPr="00330E02" w14:paraId="3CE20C1D" w14:textId="77777777" w:rsidTr="003C1A27">
        <w:trPr>
          <w:trHeight w:val="308"/>
        </w:trPr>
        <w:tc>
          <w:tcPr>
            <w:tcW w:w="3950" w:type="dxa"/>
            <w:shd w:val="clear" w:color="auto" w:fill="auto"/>
            <w:tcMar>
              <w:top w:w="15" w:type="dxa"/>
              <w:left w:w="15" w:type="dxa"/>
              <w:bottom w:w="0" w:type="dxa"/>
              <w:right w:w="15" w:type="dxa"/>
            </w:tcMar>
            <w:vAlign w:val="center"/>
          </w:tcPr>
          <w:p w14:paraId="29ED13A9" w14:textId="17617186" w:rsidR="00DD1F8A" w:rsidRPr="00330E02" w:rsidRDefault="00DD1F8A" w:rsidP="00DD1F8A">
            <w:pPr>
              <w:rPr>
                <w:sz w:val="20"/>
                <w:szCs w:val="20"/>
              </w:rPr>
            </w:pPr>
            <w:r w:rsidRPr="00330E02">
              <w:rPr>
                <w:sz w:val="20"/>
                <w:szCs w:val="20"/>
              </w:rPr>
              <w:t>March 2021</w:t>
            </w:r>
          </w:p>
        </w:tc>
        <w:tc>
          <w:tcPr>
            <w:tcW w:w="5390" w:type="dxa"/>
            <w:shd w:val="clear" w:color="auto" w:fill="auto"/>
            <w:noWrap/>
            <w:tcMar>
              <w:top w:w="15" w:type="dxa"/>
              <w:left w:w="15" w:type="dxa"/>
              <w:bottom w:w="0" w:type="dxa"/>
              <w:right w:w="15" w:type="dxa"/>
            </w:tcMar>
            <w:vAlign w:val="center"/>
          </w:tcPr>
          <w:p w14:paraId="0717F36B" w14:textId="104CE4E5" w:rsidR="00DD1F8A" w:rsidRPr="00330E02" w:rsidRDefault="00DD1F8A" w:rsidP="00DD1F8A">
            <w:pPr>
              <w:rPr>
                <w:sz w:val="20"/>
                <w:szCs w:val="20"/>
              </w:rPr>
            </w:pPr>
            <w:r w:rsidRPr="00330E02">
              <w:rPr>
                <w:sz w:val="20"/>
                <w:szCs w:val="20"/>
              </w:rPr>
              <w:t>Present results at the Science for Solutions Conference</w:t>
            </w:r>
          </w:p>
        </w:tc>
      </w:tr>
      <w:tr w:rsidR="00DD1F8A" w:rsidRPr="00330E02" w14:paraId="00BC087F" w14:textId="77777777" w:rsidTr="003C1A27">
        <w:trPr>
          <w:trHeight w:val="308"/>
        </w:trPr>
        <w:tc>
          <w:tcPr>
            <w:tcW w:w="3950" w:type="dxa"/>
            <w:shd w:val="clear" w:color="auto" w:fill="auto"/>
            <w:tcMar>
              <w:top w:w="15" w:type="dxa"/>
              <w:left w:w="15" w:type="dxa"/>
              <w:bottom w:w="0" w:type="dxa"/>
              <w:right w:w="15" w:type="dxa"/>
            </w:tcMar>
            <w:vAlign w:val="center"/>
            <w:hideMark/>
          </w:tcPr>
          <w:p w14:paraId="4BF8B4F9" w14:textId="77777777" w:rsidR="00DD1F8A" w:rsidRPr="00330E02" w:rsidRDefault="00DD1F8A" w:rsidP="00DD1F8A">
            <w:pPr>
              <w:rPr>
                <w:sz w:val="20"/>
                <w:szCs w:val="20"/>
              </w:rPr>
            </w:pPr>
            <w:r w:rsidRPr="00330E02">
              <w:rPr>
                <w:sz w:val="20"/>
                <w:szCs w:val="20"/>
              </w:rPr>
              <w:t>3/31/2021</w:t>
            </w:r>
          </w:p>
        </w:tc>
        <w:tc>
          <w:tcPr>
            <w:tcW w:w="5390" w:type="dxa"/>
            <w:shd w:val="clear" w:color="auto" w:fill="auto"/>
            <w:tcMar>
              <w:top w:w="15" w:type="dxa"/>
              <w:left w:w="15" w:type="dxa"/>
              <w:bottom w:w="0" w:type="dxa"/>
              <w:right w:w="15" w:type="dxa"/>
            </w:tcMar>
            <w:vAlign w:val="center"/>
            <w:hideMark/>
          </w:tcPr>
          <w:p w14:paraId="1F43A274" w14:textId="0AA4E78B" w:rsidR="00DD1F8A" w:rsidRPr="00330E02" w:rsidRDefault="00DD1F8A" w:rsidP="00DD1F8A">
            <w:pPr>
              <w:rPr>
                <w:sz w:val="20"/>
                <w:szCs w:val="20"/>
              </w:rPr>
            </w:pPr>
            <w:r w:rsidRPr="00330E02">
              <w:rPr>
                <w:sz w:val="20"/>
                <w:szCs w:val="20"/>
              </w:rPr>
              <w:t>Completion of the project</w:t>
            </w:r>
          </w:p>
        </w:tc>
      </w:tr>
      <w:tr w:rsidR="00DD1F8A" w:rsidRPr="00330E02" w14:paraId="5B3E6878" w14:textId="77777777" w:rsidTr="003C1A27">
        <w:trPr>
          <w:trHeight w:val="308"/>
        </w:trPr>
        <w:tc>
          <w:tcPr>
            <w:tcW w:w="3950" w:type="dxa"/>
            <w:shd w:val="clear" w:color="auto" w:fill="auto"/>
            <w:tcMar>
              <w:top w:w="15" w:type="dxa"/>
              <w:left w:w="15" w:type="dxa"/>
              <w:bottom w:w="0" w:type="dxa"/>
              <w:right w:w="15" w:type="dxa"/>
            </w:tcMar>
            <w:vAlign w:val="center"/>
            <w:hideMark/>
          </w:tcPr>
          <w:p w14:paraId="489EA722" w14:textId="77777777" w:rsidR="00DD1F8A" w:rsidRPr="00330E02" w:rsidRDefault="00DD1F8A" w:rsidP="00DD1F8A">
            <w:pPr>
              <w:rPr>
                <w:sz w:val="20"/>
                <w:szCs w:val="20"/>
              </w:rPr>
            </w:pPr>
            <w:r w:rsidRPr="00330E02">
              <w:rPr>
                <w:sz w:val="20"/>
                <w:szCs w:val="20"/>
              </w:rPr>
              <w:t>4/1/2021 to 5/31/2021</w:t>
            </w:r>
          </w:p>
        </w:tc>
        <w:tc>
          <w:tcPr>
            <w:tcW w:w="5390" w:type="dxa"/>
            <w:shd w:val="clear" w:color="auto" w:fill="auto"/>
            <w:tcMar>
              <w:top w:w="15" w:type="dxa"/>
              <w:left w:w="15" w:type="dxa"/>
              <w:bottom w:w="0" w:type="dxa"/>
              <w:right w:w="15" w:type="dxa"/>
            </w:tcMar>
            <w:vAlign w:val="center"/>
            <w:hideMark/>
          </w:tcPr>
          <w:p w14:paraId="097EA9A2" w14:textId="77777777" w:rsidR="00DD1F8A" w:rsidRPr="00330E02" w:rsidRDefault="00DD1F8A" w:rsidP="00DD1F8A">
            <w:pPr>
              <w:rPr>
                <w:sz w:val="20"/>
                <w:szCs w:val="20"/>
              </w:rPr>
            </w:pPr>
            <w:r w:rsidRPr="00330E02">
              <w:rPr>
                <w:sz w:val="20"/>
                <w:szCs w:val="20"/>
              </w:rPr>
              <w:t xml:space="preserve">Prepare </w:t>
            </w:r>
            <w:r w:rsidRPr="00330E02">
              <w:rPr>
                <w:noProof/>
                <w:sz w:val="20"/>
                <w:szCs w:val="20"/>
              </w:rPr>
              <w:t>draft</w:t>
            </w:r>
            <w:r w:rsidRPr="00330E02">
              <w:rPr>
                <w:sz w:val="20"/>
                <w:szCs w:val="20"/>
              </w:rPr>
              <w:t xml:space="preserve"> final report.</w:t>
            </w:r>
          </w:p>
        </w:tc>
      </w:tr>
      <w:tr w:rsidR="00DD1F8A" w:rsidRPr="00330E02" w14:paraId="6D78F0FA" w14:textId="77777777" w:rsidTr="003C1A27">
        <w:trPr>
          <w:trHeight w:val="308"/>
        </w:trPr>
        <w:tc>
          <w:tcPr>
            <w:tcW w:w="3950" w:type="dxa"/>
            <w:shd w:val="clear" w:color="auto" w:fill="auto"/>
            <w:tcMar>
              <w:top w:w="15" w:type="dxa"/>
              <w:left w:w="15" w:type="dxa"/>
              <w:bottom w:w="0" w:type="dxa"/>
              <w:right w:w="15" w:type="dxa"/>
            </w:tcMar>
            <w:vAlign w:val="center"/>
            <w:hideMark/>
          </w:tcPr>
          <w:p w14:paraId="043A9B6A" w14:textId="77777777" w:rsidR="00DD1F8A" w:rsidRPr="00330E02" w:rsidRDefault="00DD1F8A" w:rsidP="00DD1F8A">
            <w:pPr>
              <w:rPr>
                <w:sz w:val="20"/>
                <w:szCs w:val="20"/>
              </w:rPr>
            </w:pPr>
            <w:r w:rsidRPr="00330E02">
              <w:rPr>
                <w:sz w:val="20"/>
                <w:szCs w:val="20"/>
              </w:rPr>
              <w:t>7/31/2021</w:t>
            </w:r>
          </w:p>
        </w:tc>
        <w:tc>
          <w:tcPr>
            <w:tcW w:w="5390" w:type="dxa"/>
            <w:shd w:val="clear" w:color="auto" w:fill="auto"/>
            <w:tcMar>
              <w:top w:w="15" w:type="dxa"/>
              <w:left w:w="15" w:type="dxa"/>
              <w:bottom w:w="0" w:type="dxa"/>
              <w:right w:w="15" w:type="dxa"/>
            </w:tcMar>
            <w:vAlign w:val="center"/>
            <w:hideMark/>
          </w:tcPr>
          <w:p w14:paraId="5768E07D" w14:textId="77777777" w:rsidR="00DD1F8A" w:rsidRPr="00330E02" w:rsidRDefault="00DD1F8A" w:rsidP="00DD1F8A">
            <w:pPr>
              <w:rPr>
                <w:sz w:val="20"/>
                <w:szCs w:val="20"/>
              </w:rPr>
            </w:pPr>
            <w:r w:rsidRPr="00330E02">
              <w:rPr>
                <w:sz w:val="20"/>
                <w:szCs w:val="20"/>
              </w:rPr>
              <w:t>Final report due date.</w:t>
            </w:r>
          </w:p>
        </w:tc>
      </w:tr>
    </w:tbl>
    <w:p w14:paraId="60796BCA" w14:textId="2A6A1D1E" w:rsidR="00DD1F8A" w:rsidRDefault="00DD1F8A" w:rsidP="00DD1F8A">
      <w:pPr>
        <w:rPr>
          <w:b/>
        </w:rPr>
      </w:pPr>
    </w:p>
    <w:p w14:paraId="63B03136" w14:textId="77777777" w:rsidR="00002D1F" w:rsidRPr="00DB03CA" w:rsidRDefault="00002D1F" w:rsidP="00002D1F">
      <w:pPr>
        <w:rPr>
          <w:b/>
          <w:sz w:val="26"/>
        </w:rPr>
      </w:pPr>
      <w:r w:rsidRPr="00DB03CA">
        <w:rPr>
          <w:b/>
          <w:sz w:val="26"/>
        </w:rPr>
        <w:t>Budget</w:t>
      </w:r>
    </w:p>
    <w:p w14:paraId="4FFD6890" w14:textId="77777777" w:rsidR="008F3446" w:rsidRPr="00337298" w:rsidRDefault="008F3446" w:rsidP="008F3446">
      <w:pPr>
        <w:spacing w:after="0" w:line="240" w:lineRule="auto"/>
        <w:rPr>
          <w:rFonts w:ascii="Calibri" w:eastAsia="Calibri" w:hAnsi="Calibri" w:cs="Times New Roman"/>
        </w:rPr>
      </w:pPr>
      <w:r>
        <w:rPr>
          <w:rFonts w:ascii="Calibri" w:eastAsia="Calibri" w:hAnsi="Calibri" w:cs="Times New Roman"/>
        </w:rPr>
        <w:t>Budget costs will include:</w:t>
      </w:r>
    </w:p>
    <w:p w14:paraId="47A14EE1" w14:textId="16E544AF" w:rsidR="008F3446" w:rsidRPr="00F07844" w:rsidRDefault="008F3446" w:rsidP="008F3446">
      <w:pPr>
        <w:numPr>
          <w:ilvl w:val="0"/>
          <w:numId w:val="23"/>
        </w:numPr>
        <w:spacing w:before="240" w:after="0" w:line="240" w:lineRule="auto"/>
        <w:contextualSpacing/>
        <w:rPr>
          <w:rFonts w:ascii="Calibri" w:eastAsia="Calibri" w:hAnsi="Calibri" w:cs="Times New Roman"/>
        </w:rPr>
      </w:pPr>
      <w:r w:rsidRPr="00030BB4">
        <w:rPr>
          <w:rFonts w:ascii="Calibri" w:eastAsia="Calibri" w:hAnsi="Calibri" w:cs="Times New Roman"/>
          <w:b/>
        </w:rPr>
        <w:t>Personnel costs</w:t>
      </w:r>
      <w:r>
        <w:rPr>
          <w:rFonts w:ascii="Calibri" w:eastAsia="Calibri" w:hAnsi="Calibri" w:cs="Times New Roman"/>
          <w:b/>
        </w:rPr>
        <w:t xml:space="preserve"> ($</w:t>
      </w:r>
      <w:r w:rsidR="00531B76">
        <w:rPr>
          <w:rFonts w:ascii="Calibri" w:eastAsia="Calibri" w:hAnsi="Calibri" w:cs="Times New Roman"/>
          <w:b/>
        </w:rPr>
        <w:t>48,717</w:t>
      </w:r>
      <w:r w:rsidRPr="00F07844">
        <w:rPr>
          <w:rFonts w:ascii="Calibri" w:eastAsia="Calibri" w:hAnsi="Calibri" w:cs="Times New Roman"/>
          <w:b/>
        </w:rPr>
        <w:t>):</w:t>
      </w:r>
    </w:p>
    <w:p w14:paraId="125BDD2A" w14:textId="7488A1CC" w:rsidR="008F3446" w:rsidRDefault="008F3446" w:rsidP="00CC478C">
      <w:pPr>
        <w:numPr>
          <w:ilvl w:val="1"/>
          <w:numId w:val="25"/>
        </w:numPr>
        <w:spacing w:before="240" w:after="0" w:line="240" w:lineRule="auto"/>
        <w:contextualSpacing/>
        <w:rPr>
          <w:rFonts w:ascii="Calibri" w:eastAsia="Calibri" w:hAnsi="Calibri" w:cs="Times New Roman"/>
        </w:rPr>
      </w:pPr>
      <w:r>
        <w:rPr>
          <w:rFonts w:ascii="Calibri" w:eastAsia="Calibri" w:hAnsi="Calibri" w:cs="Times New Roman"/>
        </w:rPr>
        <w:t xml:space="preserve">Two </w:t>
      </w:r>
      <w:r w:rsidR="00825BEF">
        <w:rPr>
          <w:rFonts w:ascii="Calibri" w:eastAsia="Calibri" w:hAnsi="Calibri" w:cs="Times New Roman"/>
        </w:rPr>
        <w:t>months for Trang Tran at $</w:t>
      </w:r>
      <w:r w:rsidR="00531B76">
        <w:rPr>
          <w:rFonts w:ascii="Calibri" w:eastAsia="Calibri" w:hAnsi="Calibri" w:cs="Times New Roman"/>
        </w:rPr>
        <w:t>10,862</w:t>
      </w:r>
    </w:p>
    <w:p w14:paraId="69405C69" w14:textId="38B4001A" w:rsidR="008F3446" w:rsidRDefault="008F3446" w:rsidP="00CC478C">
      <w:pPr>
        <w:numPr>
          <w:ilvl w:val="1"/>
          <w:numId w:val="25"/>
        </w:numPr>
        <w:spacing w:before="240" w:after="0" w:line="240" w:lineRule="auto"/>
        <w:contextualSpacing/>
        <w:rPr>
          <w:rFonts w:ascii="Calibri" w:eastAsia="Calibri" w:hAnsi="Calibri" w:cs="Times New Roman"/>
        </w:rPr>
      </w:pPr>
      <w:r>
        <w:rPr>
          <w:rFonts w:ascii="Calibri" w:eastAsia="Calibri" w:hAnsi="Calibri" w:cs="Times New Roman"/>
        </w:rPr>
        <w:t>Tw</w:t>
      </w:r>
      <w:r w:rsidR="00825BEF">
        <w:rPr>
          <w:rFonts w:ascii="Calibri" w:eastAsia="Calibri" w:hAnsi="Calibri" w:cs="Times New Roman"/>
        </w:rPr>
        <w:t>o months for Huy Tran at $</w:t>
      </w:r>
      <w:r w:rsidR="00531B76">
        <w:rPr>
          <w:rFonts w:ascii="Calibri" w:eastAsia="Calibri" w:hAnsi="Calibri" w:cs="Times New Roman"/>
        </w:rPr>
        <w:t>11,097</w:t>
      </w:r>
    </w:p>
    <w:p w14:paraId="65262546" w14:textId="6C74BBFC" w:rsidR="008F3446" w:rsidRDefault="008F3446" w:rsidP="00CC478C">
      <w:pPr>
        <w:numPr>
          <w:ilvl w:val="1"/>
          <w:numId w:val="25"/>
        </w:numPr>
        <w:spacing w:before="240" w:after="0" w:line="240" w:lineRule="auto"/>
        <w:contextualSpacing/>
        <w:rPr>
          <w:rFonts w:ascii="Calibri" w:eastAsia="Calibri" w:hAnsi="Calibri" w:cs="Times New Roman"/>
        </w:rPr>
      </w:pPr>
      <w:r>
        <w:rPr>
          <w:rFonts w:ascii="Calibri" w:eastAsia="Calibri" w:hAnsi="Calibri" w:cs="Times New Roman"/>
        </w:rPr>
        <w:t>Two mo</w:t>
      </w:r>
      <w:r w:rsidR="00825BEF">
        <w:rPr>
          <w:rFonts w:ascii="Calibri" w:eastAsia="Calibri" w:hAnsi="Calibri" w:cs="Times New Roman"/>
        </w:rPr>
        <w:t>nths for Trevor O’Neil at $</w:t>
      </w:r>
      <w:r w:rsidR="00DB27E0">
        <w:rPr>
          <w:rFonts w:ascii="Calibri" w:eastAsia="Calibri" w:hAnsi="Calibri" w:cs="Times New Roman"/>
        </w:rPr>
        <w:t>8,</w:t>
      </w:r>
      <w:r w:rsidR="00531B76">
        <w:rPr>
          <w:rFonts w:ascii="Calibri" w:eastAsia="Calibri" w:hAnsi="Calibri" w:cs="Times New Roman"/>
        </w:rPr>
        <w:t>228</w:t>
      </w:r>
    </w:p>
    <w:p w14:paraId="0370D54F" w14:textId="77777777" w:rsidR="008F3446" w:rsidRPr="00351CFB" w:rsidRDefault="008F3446" w:rsidP="00CC478C">
      <w:pPr>
        <w:numPr>
          <w:ilvl w:val="1"/>
          <w:numId w:val="25"/>
        </w:numPr>
        <w:spacing w:before="240" w:after="0" w:line="240" w:lineRule="auto"/>
        <w:contextualSpacing/>
        <w:rPr>
          <w:rFonts w:ascii="Calibri" w:eastAsia="Calibri" w:hAnsi="Calibri" w:cs="Times New Roman"/>
        </w:rPr>
      </w:pPr>
      <w:r>
        <w:rPr>
          <w:rFonts w:ascii="Calibri" w:eastAsia="Calibri" w:hAnsi="Calibri" w:cs="Times New Roman"/>
        </w:rPr>
        <w:t>(</w:t>
      </w:r>
      <w:r w:rsidRPr="00337298">
        <w:rPr>
          <w:rFonts w:ascii="Calibri" w:eastAsia="Calibri" w:hAnsi="Calibri" w:cs="Times New Roman"/>
        </w:rPr>
        <w:t xml:space="preserve">Non-exempt salaried </w:t>
      </w:r>
      <w:r w:rsidRPr="00337298">
        <w:rPr>
          <w:rFonts w:ascii="Calibri" w:eastAsia="Calibri" w:hAnsi="Calibri" w:cs="Times New Roman"/>
          <w:noProof/>
        </w:rPr>
        <w:t>and/or</w:t>
      </w:r>
      <w:r w:rsidRPr="00337298">
        <w:rPr>
          <w:rFonts w:ascii="Calibri" w:eastAsia="Calibri" w:hAnsi="Calibri" w:cs="Times New Roman"/>
        </w:rPr>
        <w:t xml:space="preserve"> hourly employees may occasionally accrue overtime during the field data coll</w:t>
      </w:r>
      <w:r>
        <w:rPr>
          <w:rFonts w:ascii="Calibri" w:eastAsia="Calibri" w:hAnsi="Calibri" w:cs="Times New Roman"/>
        </w:rPr>
        <w:t>ection portions of this project)</w:t>
      </w:r>
    </w:p>
    <w:p w14:paraId="1AB3FA3D" w14:textId="555CAAE1" w:rsidR="008F3446" w:rsidRDefault="008F3446" w:rsidP="00CC478C">
      <w:pPr>
        <w:numPr>
          <w:ilvl w:val="1"/>
          <w:numId w:val="25"/>
        </w:numPr>
        <w:spacing w:before="240" w:after="0" w:line="240" w:lineRule="auto"/>
        <w:contextualSpacing/>
        <w:rPr>
          <w:rFonts w:ascii="Calibri" w:eastAsia="Calibri" w:hAnsi="Calibri" w:cs="Times New Roman"/>
        </w:rPr>
      </w:pPr>
      <w:r>
        <w:rPr>
          <w:rFonts w:ascii="Calibri" w:eastAsia="Calibri" w:hAnsi="Calibri" w:cs="Times New Roman"/>
        </w:rPr>
        <w:t>Two person-months of wages for a student employee at $</w:t>
      </w:r>
      <w:r w:rsidR="00531B76">
        <w:rPr>
          <w:rFonts w:ascii="Calibri" w:eastAsia="Calibri" w:hAnsi="Calibri" w:cs="Times New Roman"/>
        </w:rPr>
        <w:t>4,455</w:t>
      </w:r>
    </w:p>
    <w:p w14:paraId="0593B507" w14:textId="5F146F26" w:rsidR="008F3446" w:rsidRPr="004E5859" w:rsidRDefault="00825BEF" w:rsidP="00CC478C">
      <w:pPr>
        <w:numPr>
          <w:ilvl w:val="1"/>
          <w:numId w:val="25"/>
        </w:numPr>
        <w:spacing w:before="240" w:after="0" w:line="240" w:lineRule="auto"/>
        <w:contextualSpacing/>
        <w:rPr>
          <w:rFonts w:ascii="Calibri" w:eastAsia="Calibri" w:hAnsi="Calibri" w:cs="Times New Roman"/>
        </w:rPr>
      </w:pPr>
      <w:r w:rsidRPr="004E5859">
        <w:rPr>
          <w:rFonts w:ascii="Calibri" w:eastAsia="Calibri" w:hAnsi="Calibri" w:cs="Times New Roman"/>
        </w:rPr>
        <w:t>Fringe benefits calculated as 4</w:t>
      </w:r>
      <w:r w:rsidR="00664F52" w:rsidRPr="004E5859">
        <w:rPr>
          <w:rFonts w:ascii="Calibri" w:eastAsia="Calibri" w:hAnsi="Calibri" w:cs="Times New Roman"/>
        </w:rPr>
        <w:t>6.5</w:t>
      </w:r>
      <w:r w:rsidR="008F3446" w:rsidRPr="004E5859">
        <w:rPr>
          <w:rFonts w:ascii="Calibri" w:eastAsia="Calibri" w:hAnsi="Calibri" w:cs="Times New Roman"/>
        </w:rPr>
        <w:t>% of salaries and 0.</w:t>
      </w:r>
      <w:r w:rsidRPr="004E5859">
        <w:rPr>
          <w:rFonts w:ascii="Calibri" w:eastAsia="Calibri" w:hAnsi="Calibri" w:cs="Times New Roman"/>
        </w:rPr>
        <w:t>8</w:t>
      </w:r>
      <w:r w:rsidR="008F3446" w:rsidRPr="004E5859">
        <w:rPr>
          <w:rFonts w:ascii="Calibri" w:eastAsia="Calibri" w:hAnsi="Calibri" w:cs="Times New Roman"/>
        </w:rPr>
        <w:t>% of student wages, for a total of $</w:t>
      </w:r>
      <w:r w:rsidR="00531B76">
        <w:rPr>
          <w:rFonts w:ascii="Calibri" w:eastAsia="Calibri" w:hAnsi="Calibri" w:cs="Times New Roman"/>
        </w:rPr>
        <w:t>14,075</w:t>
      </w:r>
    </w:p>
    <w:p w14:paraId="0E94903C" w14:textId="2DF8F6D9" w:rsidR="008F3446" w:rsidRPr="00030BB4" w:rsidRDefault="008F3446" w:rsidP="008F3446">
      <w:pPr>
        <w:numPr>
          <w:ilvl w:val="0"/>
          <w:numId w:val="23"/>
        </w:numPr>
        <w:spacing w:before="240" w:after="0" w:line="240" w:lineRule="auto"/>
        <w:contextualSpacing/>
        <w:rPr>
          <w:rFonts w:ascii="Calibri" w:eastAsia="Calibri" w:hAnsi="Calibri" w:cs="Times New Roman"/>
          <w:b/>
        </w:rPr>
      </w:pPr>
      <w:r w:rsidRPr="00030BB4">
        <w:rPr>
          <w:rFonts w:ascii="Calibri" w:eastAsia="Calibri" w:hAnsi="Calibri" w:cs="Times New Roman"/>
          <w:b/>
        </w:rPr>
        <w:t>Travel costs</w:t>
      </w:r>
      <w:r>
        <w:rPr>
          <w:rFonts w:ascii="Calibri" w:eastAsia="Calibri" w:hAnsi="Calibri" w:cs="Times New Roman"/>
          <w:b/>
        </w:rPr>
        <w:t xml:space="preserve"> ($</w:t>
      </w:r>
      <w:r w:rsidR="00D12F58">
        <w:rPr>
          <w:rFonts w:ascii="Calibri" w:eastAsia="Calibri" w:hAnsi="Calibri" w:cs="Times New Roman"/>
          <w:b/>
        </w:rPr>
        <w:t>5,03</w:t>
      </w:r>
      <w:r w:rsidR="00282BCE">
        <w:rPr>
          <w:rFonts w:ascii="Calibri" w:eastAsia="Calibri" w:hAnsi="Calibri" w:cs="Times New Roman"/>
          <w:b/>
        </w:rPr>
        <w:t>2</w:t>
      </w:r>
      <w:r>
        <w:rPr>
          <w:rFonts w:ascii="Calibri" w:eastAsia="Calibri" w:hAnsi="Calibri" w:cs="Times New Roman"/>
          <w:b/>
        </w:rPr>
        <w:t>)</w:t>
      </w:r>
      <w:r w:rsidRPr="00030BB4">
        <w:rPr>
          <w:rFonts w:ascii="Calibri" w:eastAsia="Calibri" w:hAnsi="Calibri" w:cs="Times New Roman"/>
          <w:b/>
        </w:rPr>
        <w:t>:</w:t>
      </w:r>
    </w:p>
    <w:p w14:paraId="746DF43B" w14:textId="50EE483F" w:rsidR="008F3446" w:rsidRDefault="008F3446" w:rsidP="00CC478C">
      <w:pPr>
        <w:numPr>
          <w:ilvl w:val="1"/>
          <w:numId w:val="26"/>
        </w:numPr>
        <w:spacing w:before="240" w:after="0" w:line="240" w:lineRule="auto"/>
        <w:contextualSpacing/>
        <w:rPr>
          <w:rFonts w:ascii="Calibri" w:eastAsia="Calibri" w:hAnsi="Calibri" w:cs="Times New Roman"/>
        </w:rPr>
      </w:pPr>
      <w:r>
        <w:rPr>
          <w:rFonts w:ascii="Calibri" w:eastAsia="Calibri" w:hAnsi="Calibri" w:cs="Times New Roman"/>
        </w:rPr>
        <w:t xml:space="preserve">Mileage costs </w:t>
      </w:r>
      <w:r w:rsidRPr="00337298">
        <w:rPr>
          <w:rFonts w:ascii="Calibri" w:eastAsia="Calibri" w:hAnsi="Calibri" w:cs="Times New Roman"/>
        </w:rPr>
        <w:t xml:space="preserve">for miles traveled to and from </w:t>
      </w:r>
      <w:r>
        <w:rPr>
          <w:rFonts w:ascii="Calibri" w:eastAsia="Calibri" w:hAnsi="Calibri" w:cs="Times New Roman"/>
        </w:rPr>
        <w:t>measurement sites, calculated at $</w:t>
      </w:r>
      <w:r w:rsidR="00343A7C">
        <w:rPr>
          <w:rFonts w:ascii="Calibri" w:eastAsia="Calibri" w:hAnsi="Calibri" w:cs="Times New Roman"/>
        </w:rPr>
        <w:t>0.67</w:t>
      </w:r>
      <w:r w:rsidR="007C447E">
        <w:rPr>
          <w:rFonts w:ascii="Calibri" w:eastAsia="Calibri" w:hAnsi="Calibri" w:cs="Times New Roman"/>
        </w:rPr>
        <w:t>3</w:t>
      </w:r>
      <w:r>
        <w:rPr>
          <w:rFonts w:ascii="Calibri" w:eastAsia="Calibri" w:hAnsi="Calibri" w:cs="Times New Roman"/>
        </w:rPr>
        <w:t xml:space="preserve"> per mile</w:t>
      </w:r>
      <w:r w:rsidRPr="00337298">
        <w:rPr>
          <w:rFonts w:ascii="Calibri" w:eastAsia="Calibri" w:hAnsi="Calibri" w:cs="Times New Roman"/>
        </w:rPr>
        <w:t>.</w:t>
      </w:r>
      <w:r>
        <w:rPr>
          <w:rFonts w:ascii="Calibri" w:eastAsia="Calibri" w:hAnsi="Calibri" w:cs="Times New Roman"/>
        </w:rPr>
        <w:t xml:space="preserve">  We anticipate traveling </w:t>
      </w:r>
      <w:r w:rsidR="003C5E88">
        <w:rPr>
          <w:rFonts w:ascii="Calibri" w:eastAsia="Calibri" w:hAnsi="Calibri" w:cs="Times New Roman"/>
        </w:rPr>
        <w:t xml:space="preserve">6,800 </w:t>
      </w:r>
      <w:r>
        <w:rPr>
          <w:rFonts w:ascii="Calibri" w:eastAsia="Calibri" w:hAnsi="Calibri" w:cs="Times New Roman"/>
        </w:rPr>
        <w:t xml:space="preserve">miles (20 miles per station per sample </w:t>
      </w:r>
      <w:proofErr w:type="spellStart"/>
      <w:r>
        <w:rPr>
          <w:rFonts w:ascii="Calibri" w:eastAsia="Calibri" w:hAnsi="Calibri" w:cs="Times New Roman"/>
        </w:rPr>
        <w:t>deployment+collection</w:t>
      </w:r>
      <w:proofErr w:type="spellEnd"/>
      <w:r>
        <w:rPr>
          <w:rFonts w:ascii="Calibri" w:eastAsia="Calibri" w:hAnsi="Calibri" w:cs="Times New Roman"/>
        </w:rPr>
        <w:t xml:space="preserve"> </w:t>
      </w:r>
      <w:r>
        <w:rPr>
          <w:rFonts w:ascii="Calibri" w:eastAsia="Calibri" w:hAnsi="Calibri" w:cs="Calibri"/>
        </w:rPr>
        <w:t>×</w:t>
      </w:r>
      <w:r>
        <w:rPr>
          <w:rFonts w:ascii="Calibri" w:eastAsia="Calibri" w:hAnsi="Calibri" w:cs="Times New Roman"/>
        </w:rPr>
        <w:t xml:space="preserve"> </w:t>
      </w:r>
      <w:r w:rsidR="00F6614D">
        <w:rPr>
          <w:rFonts w:ascii="Calibri" w:eastAsia="Calibri" w:hAnsi="Calibri" w:cs="Times New Roman"/>
        </w:rPr>
        <w:t xml:space="preserve"> </w:t>
      </w:r>
      <w:r w:rsidR="003C5E88">
        <w:rPr>
          <w:rFonts w:ascii="Calibri" w:eastAsia="Calibri" w:hAnsi="Calibri" w:cs="Times New Roman"/>
        </w:rPr>
        <w:t xml:space="preserve">20 </w:t>
      </w:r>
      <w:r>
        <w:rPr>
          <w:rFonts w:ascii="Calibri" w:eastAsia="Calibri" w:hAnsi="Calibri" w:cs="Times New Roman"/>
        </w:rPr>
        <w:t xml:space="preserve">deployments of </w:t>
      </w:r>
      <w:r w:rsidR="00F6614D">
        <w:rPr>
          <w:rFonts w:ascii="Calibri" w:eastAsia="Calibri" w:hAnsi="Calibri" w:cs="Times New Roman"/>
        </w:rPr>
        <w:t xml:space="preserve">17 </w:t>
      </w:r>
      <w:r>
        <w:rPr>
          <w:rFonts w:ascii="Calibri" w:eastAsia="Calibri" w:hAnsi="Calibri" w:cs="Times New Roman"/>
        </w:rPr>
        <w:t>stations) for a total mileage cost of $</w:t>
      </w:r>
      <w:r w:rsidR="003C5E88">
        <w:rPr>
          <w:rFonts w:ascii="Calibri" w:eastAsia="Calibri" w:hAnsi="Calibri" w:cs="Times New Roman"/>
        </w:rPr>
        <w:t>4,576</w:t>
      </w:r>
    </w:p>
    <w:p w14:paraId="393F829B" w14:textId="77777777" w:rsidR="008F3446" w:rsidRDefault="008F3446" w:rsidP="00CC478C">
      <w:pPr>
        <w:numPr>
          <w:ilvl w:val="1"/>
          <w:numId w:val="26"/>
        </w:numPr>
        <w:spacing w:before="240" w:after="0" w:line="240" w:lineRule="auto"/>
        <w:contextualSpacing/>
        <w:rPr>
          <w:rFonts w:ascii="Calibri" w:eastAsia="Calibri" w:hAnsi="Calibri" w:cs="Times New Roman"/>
        </w:rPr>
      </w:pPr>
      <w:r>
        <w:rPr>
          <w:rFonts w:ascii="Calibri" w:eastAsia="Calibri" w:hAnsi="Calibri" w:cs="Times New Roman"/>
        </w:rPr>
        <w:t>Travel for one person to the 2020 Science for Solutions air quality research conference, at a total cost of $455, which includes:</w:t>
      </w:r>
    </w:p>
    <w:p w14:paraId="548241DC" w14:textId="77777777" w:rsidR="008F3446" w:rsidRDefault="008F3446" w:rsidP="008F3446">
      <w:pPr>
        <w:numPr>
          <w:ilvl w:val="2"/>
          <w:numId w:val="23"/>
        </w:numPr>
        <w:spacing w:before="240" w:after="0" w:line="240" w:lineRule="auto"/>
        <w:contextualSpacing/>
        <w:rPr>
          <w:rFonts w:ascii="Calibri" w:eastAsia="Calibri" w:hAnsi="Calibri" w:cs="Times New Roman"/>
        </w:rPr>
      </w:pPr>
      <w:r>
        <w:rPr>
          <w:rFonts w:ascii="Calibri" w:eastAsia="Calibri" w:hAnsi="Calibri" w:cs="Times New Roman"/>
        </w:rPr>
        <w:t>$10 for registration</w:t>
      </w:r>
    </w:p>
    <w:p w14:paraId="24256EB0" w14:textId="77777777" w:rsidR="008F3446" w:rsidRDefault="008F3446" w:rsidP="008F3446">
      <w:pPr>
        <w:numPr>
          <w:ilvl w:val="2"/>
          <w:numId w:val="23"/>
        </w:numPr>
        <w:spacing w:before="240" w:after="0" w:line="240" w:lineRule="auto"/>
        <w:contextualSpacing/>
        <w:rPr>
          <w:rFonts w:ascii="Calibri" w:eastAsia="Calibri" w:hAnsi="Calibri" w:cs="Times New Roman"/>
        </w:rPr>
      </w:pPr>
      <w:r>
        <w:rPr>
          <w:rFonts w:ascii="Calibri" w:eastAsia="Calibri" w:hAnsi="Calibri" w:cs="Times New Roman"/>
        </w:rPr>
        <w:t>$150 for lodging</w:t>
      </w:r>
    </w:p>
    <w:p w14:paraId="4B1420A4" w14:textId="77777777" w:rsidR="008F3446" w:rsidRDefault="008F3446" w:rsidP="008F3446">
      <w:pPr>
        <w:numPr>
          <w:ilvl w:val="2"/>
          <w:numId w:val="23"/>
        </w:numPr>
        <w:spacing w:before="240" w:after="0" w:line="240" w:lineRule="auto"/>
        <w:contextualSpacing/>
        <w:rPr>
          <w:rFonts w:ascii="Calibri" w:eastAsia="Calibri" w:hAnsi="Calibri" w:cs="Times New Roman"/>
        </w:rPr>
      </w:pPr>
      <w:r>
        <w:rPr>
          <w:rFonts w:ascii="Calibri" w:eastAsia="Calibri" w:hAnsi="Calibri" w:cs="Times New Roman"/>
        </w:rPr>
        <w:t>$250 for travel/mileage</w:t>
      </w:r>
    </w:p>
    <w:p w14:paraId="5E351116" w14:textId="77777777" w:rsidR="008F3446" w:rsidRPr="00337298" w:rsidRDefault="008F3446" w:rsidP="008F3446">
      <w:pPr>
        <w:numPr>
          <w:ilvl w:val="2"/>
          <w:numId w:val="23"/>
        </w:numPr>
        <w:spacing w:before="240" w:after="0" w:line="240" w:lineRule="auto"/>
        <w:contextualSpacing/>
        <w:rPr>
          <w:rFonts w:ascii="Calibri" w:eastAsia="Calibri" w:hAnsi="Calibri" w:cs="Times New Roman"/>
        </w:rPr>
      </w:pPr>
      <w:r>
        <w:rPr>
          <w:rFonts w:ascii="Calibri" w:eastAsia="Calibri" w:hAnsi="Calibri" w:cs="Times New Roman"/>
        </w:rPr>
        <w:lastRenderedPageBreak/>
        <w:t>$45 for per diem</w:t>
      </w:r>
    </w:p>
    <w:p w14:paraId="34DD6D35" w14:textId="0DCE8893" w:rsidR="008F3446" w:rsidRPr="004E5859" w:rsidRDefault="008F3446" w:rsidP="008F3446">
      <w:pPr>
        <w:numPr>
          <w:ilvl w:val="0"/>
          <w:numId w:val="23"/>
        </w:numPr>
        <w:spacing w:before="240" w:after="240" w:line="240" w:lineRule="auto"/>
        <w:contextualSpacing/>
        <w:rPr>
          <w:rFonts w:ascii="Calibri" w:eastAsia="Calibri" w:hAnsi="Calibri" w:cs="Times New Roman"/>
          <w:b/>
        </w:rPr>
      </w:pPr>
      <w:r w:rsidRPr="00030BB4">
        <w:rPr>
          <w:rFonts w:ascii="Calibri" w:eastAsia="Calibri" w:hAnsi="Calibri" w:cs="Times New Roman"/>
          <w:b/>
        </w:rPr>
        <w:t xml:space="preserve">Materials </w:t>
      </w:r>
      <w:r w:rsidRPr="004E5859">
        <w:rPr>
          <w:rFonts w:ascii="Calibri" w:eastAsia="Calibri" w:hAnsi="Calibri" w:cs="Times New Roman"/>
          <w:b/>
        </w:rPr>
        <w:t>costs ($</w:t>
      </w:r>
      <w:r w:rsidR="00282BCE">
        <w:rPr>
          <w:rFonts w:ascii="Calibri" w:eastAsia="Calibri" w:hAnsi="Calibri" w:cs="Times New Roman"/>
          <w:b/>
        </w:rPr>
        <w:t>45,374</w:t>
      </w:r>
      <w:r w:rsidRPr="004E5859">
        <w:rPr>
          <w:rFonts w:ascii="Calibri" w:eastAsia="Calibri" w:hAnsi="Calibri" w:cs="Times New Roman"/>
          <w:b/>
        </w:rPr>
        <w:t>):</w:t>
      </w:r>
    </w:p>
    <w:p w14:paraId="2DB35988" w14:textId="77777777" w:rsidR="008F3446" w:rsidRPr="004E5859" w:rsidRDefault="008F3446" w:rsidP="00CC478C">
      <w:pPr>
        <w:numPr>
          <w:ilvl w:val="1"/>
          <w:numId w:val="27"/>
        </w:numPr>
        <w:spacing w:before="240" w:after="240" w:line="240" w:lineRule="auto"/>
        <w:contextualSpacing/>
        <w:rPr>
          <w:rFonts w:ascii="Calibri" w:eastAsia="Calibri" w:hAnsi="Calibri" w:cs="Times New Roman"/>
        </w:rPr>
      </w:pPr>
      <w:r w:rsidRPr="004E5859">
        <w:rPr>
          <w:rFonts w:ascii="Calibri" w:eastAsia="Calibri" w:hAnsi="Calibri" w:cs="Times New Roman"/>
        </w:rPr>
        <w:t>Materials costs for construction and maintenance of sampling equipment, including:</w:t>
      </w:r>
    </w:p>
    <w:p w14:paraId="547E70A0" w14:textId="14570366" w:rsidR="008F3446" w:rsidRDefault="00923080" w:rsidP="008F3446">
      <w:pPr>
        <w:numPr>
          <w:ilvl w:val="2"/>
          <w:numId w:val="23"/>
        </w:numPr>
        <w:spacing w:before="240" w:after="240" w:line="240" w:lineRule="auto"/>
        <w:contextualSpacing/>
        <w:rPr>
          <w:rFonts w:ascii="Calibri" w:eastAsia="Calibri" w:hAnsi="Calibri" w:cs="Times New Roman"/>
        </w:rPr>
      </w:pPr>
      <w:r w:rsidRPr="004E5859">
        <w:rPr>
          <w:rFonts w:ascii="Calibri" w:eastAsia="Calibri" w:hAnsi="Calibri" w:cs="Times New Roman"/>
        </w:rPr>
        <w:t>$</w:t>
      </w:r>
      <w:r w:rsidR="0052612A" w:rsidRPr="004E5859">
        <w:rPr>
          <w:rFonts w:ascii="Calibri" w:eastAsia="Calibri" w:hAnsi="Calibri" w:cs="Times New Roman"/>
        </w:rPr>
        <w:t>9</w:t>
      </w:r>
      <w:r w:rsidR="008F3446" w:rsidRPr="004E5859">
        <w:rPr>
          <w:rFonts w:ascii="Calibri" w:eastAsia="Calibri" w:hAnsi="Calibri" w:cs="Times New Roman"/>
        </w:rPr>
        <w:t>,</w:t>
      </w:r>
      <w:r w:rsidR="00825BEF" w:rsidRPr="004E5859">
        <w:rPr>
          <w:rFonts w:ascii="Calibri" w:eastAsia="Calibri" w:hAnsi="Calibri" w:cs="Times New Roman"/>
        </w:rPr>
        <w:t>758</w:t>
      </w:r>
      <w:r w:rsidR="008F3446" w:rsidRPr="004E5859">
        <w:rPr>
          <w:rFonts w:ascii="Calibri" w:eastAsia="Calibri" w:hAnsi="Calibri" w:cs="Times New Roman"/>
        </w:rPr>
        <w:t xml:space="preserve"> to construct sampling systems at the </w:t>
      </w:r>
      <w:proofErr w:type="spellStart"/>
      <w:r w:rsidR="008F3446" w:rsidRPr="004E5859">
        <w:rPr>
          <w:rFonts w:ascii="Calibri" w:eastAsia="Calibri" w:hAnsi="Calibri" w:cs="Times New Roman"/>
        </w:rPr>
        <w:t>Horsepool</w:t>
      </w:r>
      <w:proofErr w:type="spellEnd"/>
      <w:r w:rsidR="008F3446" w:rsidRPr="004E5859">
        <w:rPr>
          <w:rFonts w:ascii="Calibri" w:eastAsia="Calibri" w:hAnsi="Calibri" w:cs="Times New Roman"/>
        </w:rPr>
        <w:t xml:space="preserve"> and Castle Peak permanent monitoring</w:t>
      </w:r>
      <w:r w:rsidR="008F3446">
        <w:rPr>
          <w:rFonts w:ascii="Calibri" w:eastAsia="Calibri" w:hAnsi="Calibri" w:cs="Times New Roman"/>
        </w:rPr>
        <w:t xml:space="preserve"> stations</w:t>
      </w:r>
    </w:p>
    <w:p w14:paraId="11B38923" w14:textId="0B7993DD" w:rsidR="008F3446" w:rsidRPr="0028117F" w:rsidRDefault="008F3446" w:rsidP="008F3446">
      <w:pPr>
        <w:numPr>
          <w:ilvl w:val="2"/>
          <w:numId w:val="23"/>
        </w:numPr>
        <w:spacing w:before="240" w:after="240" w:line="240" w:lineRule="auto"/>
        <w:contextualSpacing/>
        <w:rPr>
          <w:rFonts w:ascii="Calibri" w:eastAsia="Calibri" w:hAnsi="Calibri" w:cs="Times New Roman"/>
        </w:rPr>
      </w:pPr>
      <w:r w:rsidRPr="0028117F">
        <w:rPr>
          <w:rFonts w:ascii="Calibri" w:eastAsia="Calibri" w:hAnsi="Calibri" w:cs="Times New Roman"/>
        </w:rPr>
        <w:t>$</w:t>
      </w:r>
      <w:r w:rsidR="00D12F58">
        <w:rPr>
          <w:rFonts w:ascii="Calibri" w:eastAsia="Calibri" w:hAnsi="Calibri" w:cs="Times New Roman"/>
        </w:rPr>
        <w:t>1,800</w:t>
      </w:r>
      <w:r w:rsidR="00EC4B77">
        <w:rPr>
          <w:rFonts w:ascii="Calibri" w:eastAsia="Calibri" w:hAnsi="Calibri" w:cs="Times New Roman"/>
        </w:rPr>
        <w:t xml:space="preserve"> </w:t>
      </w:r>
      <w:r w:rsidRPr="0028117F">
        <w:rPr>
          <w:rFonts w:ascii="Calibri" w:eastAsia="Calibri" w:hAnsi="Calibri" w:cs="Times New Roman"/>
        </w:rPr>
        <w:t xml:space="preserve">to construct </w:t>
      </w:r>
      <w:r w:rsidR="00307107" w:rsidRPr="00053CA8">
        <w:rPr>
          <w:rFonts w:ascii="Calibri" w:eastAsia="Calibri" w:hAnsi="Calibri" w:cs="Times New Roman"/>
        </w:rPr>
        <w:t xml:space="preserve">three </w:t>
      </w:r>
      <w:r w:rsidRPr="00053CA8">
        <w:rPr>
          <w:rFonts w:ascii="Calibri" w:eastAsia="Calibri" w:hAnsi="Calibri" w:cs="Times New Roman"/>
        </w:rPr>
        <w:t>additional portable sampling stations</w:t>
      </w:r>
    </w:p>
    <w:p w14:paraId="2FA0C37B" w14:textId="1A76E43F" w:rsidR="008F3446" w:rsidRDefault="008F3446" w:rsidP="008F3446">
      <w:pPr>
        <w:numPr>
          <w:ilvl w:val="2"/>
          <w:numId w:val="23"/>
        </w:numPr>
        <w:spacing w:before="240" w:after="240" w:line="240" w:lineRule="auto"/>
        <w:contextualSpacing/>
        <w:rPr>
          <w:rFonts w:ascii="Calibri" w:eastAsia="Calibri" w:hAnsi="Calibri" w:cs="Times New Roman"/>
        </w:rPr>
      </w:pPr>
      <w:r>
        <w:rPr>
          <w:rFonts w:ascii="Calibri" w:eastAsia="Calibri" w:hAnsi="Calibri" w:cs="Times New Roman"/>
        </w:rPr>
        <w:t>$</w:t>
      </w:r>
      <w:r w:rsidR="00343A7C">
        <w:rPr>
          <w:rFonts w:ascii="Calibri" w:eastAsia="Calibri" w:hAnsi="Calibri" w:cs="Times New Roman"/>
        </w:rPr>
        <w:t xml:space="preserve">1,500 </w:t>
      </w:r>
      <w:r>
        <w:rPr>
          <w:rFonts w:ascii="Calibri" w:eastAsia="Calibri" w:hAnsi="Calibri" w:cs="Times New Roman"/>
        </w:rPr>
        <w:t>for maintenance and repair of sampling systems</w:t>
      </w:r>
    </w:p>
    <w:p w14:paraId="45780F43" w14:textId="77777777" w:rsidR="008F3446" w:rsidRDefault="008F3446" w:rsidP="00CC478C">
      <w:pPr>
        <w:numPr>
          <w:ilvl w:val="1"/>
          <w:numId w:val="27"/>
        </w:numPr>
        <w:spacing w:before="240" w:after="240" w:line="240" w:lineRule="auto"/>
        <w:contextualSpacing/>
        <w:rPr>
          <w:rFonts w:ascii="Calibri" w:eastAsia="Calibri" w:hAnsi="Calibri" w:cs="Times New Roman"/>
        </w:rPr>
      </w:pPr>
      <w:r>
        <w:rPr>
          <w:rFonts w:ascii="Calibri" w:eastAsia="Calibri" w:hAnsi="Calibri" w:cs="Times New Roman"/>
        </w:rPr>
        <w:t xml:space="preserve">Purchase of four terabytes of archive storage space at the </w:t>
      </w:r>
      <w:bookmarkStart w:id="0" w:name="OLE_LINK9"/>
      <w:r>
        <w:rPr>
          <w:rFonts w:ascii="Calibri" w:eastAsia="Calibri" w:hAnsi="Calibri" w:cs="Times New Roman"/>
        </w:rPr>
        <w:t>Utah Center for High Performance Computing</w:t>
      </w:r>
      <w:bookmarkEnd w:id="0"/>
      <w:r>
        <w:rPr>
          <w:rFonts w:ascii="Calibri" w:eastAsia="Calibri" w:hAnsi="Calibri" w:cs="Times New Roman"/>
        </w:rPr>
        <w:t xml:space="preserve"> to retain model data, at $120 per terabyte, for a total of $480.</w:t>
      </w:r>
    </w:p>
    <w:p w14:paraId="29EE656B" w14:textId="674D00E2" w:rsidR="008F3446" w:rsidRDefault="008F3446" w:rsidP="00CC478C">
      <w:pPr>
        <w:numPr>
          <w:ilvl w:val="1"/>
          <w:numId w:val="27"/>
        </w:numPr>
        <w:spacing w:before="240" w:after="240" w:line="240" w:lineRule="auto"/>
        <w:contextualSpacing/>
        <w:rPr>
          <w:rFonts w:ascii="Calibri" w:eastAsia="Calibri" w:hAnsi="Calibri" w:cs="Times New Roman"/>
        </w:rPr>
      </w:pPr>
      <w:bookmarkStart w:id="1" w:name="OLE_LINK10"/>
      <w:bookmarkStart w:id="2" w:name="OLE_LINK11"/>
      <w:r>
        <w:rPr>
          <w:rFonts w:ascii="Calibri" w:eastAsia="Calibri" w:hAnsi="Calibri" w:cs="Times New Roman"/>
        </w:rPr>
        <w:t xml:space="preserve">Materials costs for analysis of </w:t>
      </w:r>
      <w:r w:rsidR="00001859">
        <w:rPr>
          <w:rFonts w:ascii="Calibri" w:eastAsia="Calibri" w:hAnsi="Calibri" w:cs="Times New Roman"/>
        </w:rPr>
        <w:t xml:space="preserve">468 </w:t>
      </w:r>
      <w:r>
        <w:rPr>
          <w:rFonts w:ascii="Calibri" w:eastAsia="Calibri" w:hAnsi="Calibri" w:cs="Times New Roman"/>
        </w:rPr>
        <w:t>DNPH cartridge samples at $42 per sample, for a total of $</w:t>
      </w:r>
      <w:r w:rsidR="00001859">
        <w:rPr>
          <w:rFonts w:ascii="Calibri" w:eastAsia="Calibri" w:hAnsi="Calibri" w:cs="Times New Roman"/>
        </w:rPr>
        <w:t>19,656</w:t>
      </w:r>
      <w:r>
        <w:rPr>
          <w:rFonts w:ascii="Calibri" w:eastAsia="Calibri" w:hAnsi="Calibri" w:cs="Times New Roman"/>
        </w:rPr>
        <w:t xml:space="preserve">.  </w:t>
      </w:r>
    </w:p>
    <w:p w14:paraId="39B578D0" w14:textId="621B43F1" w:rsidR="008F3446" w:rsidRDefault="008F3446" w:rsidP="00CC478C">
      <w:pPr>
        <w:numPr>
          <w:ilvl w:val="1"/>
          <w:numId w:val="27"/>
        </w:numPr>
        <w:spacing w:before="240" w:after="240" w:line="240" w:lineRule="auto"/>
        <w:contextualSpacing/>
        <w:rPr>
          <w:rFonts w:ascii="Calibri" w:eastAsia="Calibri" w:hAnsi="Calibri" w:cs="Times New Roman"/>
        </w:rPr>
      </w:pPr>
      <w:r>
        <w:rPr>
          <w:rFonts w:ascii="Calibri" w:eastAsia="Calibri" w:hAnsi="Calibri" w:cs="Times New Roman"/>
        </w:rPr>
        <w:t xml:space="preserve">Materials costs for analysis of </w:t>
      </w:r>
      <w:r w:rsidR="00001859">
        <w:rPr>
          <w:rFonts w:ascii="Calibri" w:eastAsia="Calibri" w:hAnsi="Calibri" w:cs="Times New Roman"/>
        </w:rPr>
        <w:t xml:space="preserve">420 </w:t>
      </w:r>
      <w:r>
        <w:rPr>
          <w:rFonts w:ascii="Calibri" w:eastAsia="Calibri" w:hAnsi="Calibri" w:cs="Times New Roman"/>
        </w:rPr>
        <w:t>canister samples at $29 per sample, for a total of $</w:t>
      </w:r>
      <w:r w:rsidR="00001859">
        <w:rPr>
          <w:rFonts w:ascii="Calibri" w:eastAsia="Calibri" w:hAnsi="Calibri" w:cs="Times New Roman"/>
        </w:rPr>
        <w:t>12,180</w:t>
      </w:r>
      <w:r>
        <w:rPr>
          <w:rFonts w:ascii="Calibri" w:eastAsia="Calibri" w:hAnsi="Calibri" w:cs="Times New Roman"/>
        </w:rPr>
        <w:t xml:space="preserve">. </w:t>
      </w:r>
    </w:p>
    <w:p w14:paraId="01E88D39" w14:textId="6687D753" w:rsidR="008F3446" w:rsidRPr="00030BB4" w:rsidRDefault="008F3446" w:rsidP="008F3446">
      <w:pPr>
        <w:numPr>
          <w:ilvl w:val="0"/>
          <w:numId w:val="23"/>
        </w:numPr>
        <w:spacing w:before="240" w:after="240" w:line="240" w:lineRule="auto"/>
        <w:contextualSpacing/>
        <w:rPr>
          <w:rFonts w:ascii="Calibri" w:eastAsia="Calibri" w:hAnsi="Calibri" w:cs="Times New Roman"/>
          <w:b/>
        </w:rPr>
      </w:pPr>
      <w:r w:rsidRPr="00030BB4">
        <w:rPr>
          <w:rFonts w:ascii="Calibri" w:eastAsia="Calibri" w:hAnsi="Calibri" w:cs="Times New Roman"/>
          <w:b/>
        </w:rPr>
        <w:t>Sub-award costs</w:t>
      </w:r>
      <w:r>
        <w:rPr>
          <w:rFonts w:ascii="Calibri" w:eastAsia="Calibri" w:hAnsi="Calibri" w:cs="Times New Roman"/>
          <w:b/>
        </w:rPr>
        <w:t xml:space="preserve"> ($</w:t>
      </w:r>
      <w:r w:rsidR="00B801B9">
        <w:rPr>
          <w:rFonts w:ascii="Calibri" w:eastAsia="Calibri" w:hAnsi="Calibri" w:cs="Times New Roman"/>
          <w:b/>
        </w:rPr>
        <w:t>28,151</w:t>
      </w:r>
      <w:r>
        <w:rPr>
          <w:rFonts w:ascii="Calibri" w:eastAsia="Calibri" w:hAnsi="Calibri" w:cs="Times New Roman"/>
          <w:b/>
        </w:rPr>
        <w:t>)</w:t>
      </w:r>
      <w:r w:rsidRPr="00030BB4">
        <w:rPr>
          <w:rFonts w:ascii="Calibri" w:eastAsia="Calibri" w:hAnsi="Calibri" w:cs="Times New Roman"/>
          <w:b/>
        </w:rPr>
        <w:t>:</w:t>
      </w:r>
    </w:p>
    <w:p w14:paraId="517E6606" w14:textId="77777777" w:rsidR="008F3446" w:rsidRDefault="008F3446" w:rsidP="00CC478C">
      <w:pPr>
        <w:numPr>
          <w:ilvl w:val="1"/>
          <w:numId w:val="27"/>
        </w:numPr>
        <w:spacing w:before="240" w:after="240" w:line="240" w:lineRule="auto"/>
        <w:contextualSpacing/>
        <w:rPr>
          <w:rFonts w:ascii="Calibri" w:eastAsia="Calibri" w:hAnsi="Calibri" w:cs="Times New Roman"/>
        </w:rPr>
      </w:pPr>
      <w:r>
        <w:rPr>
          <w:rFonts w:ascii="Calibri" w:eastAsia="Calibri" w:hAnsi="Calibri" w:cs="Times New Roman"/>
        </w:rPr>
        <w:t xml:space="preserve">The sub-award will be to ERG, Inc. </w:t>
      </w:r>
      <w:proofErr w:type="spellStart"/>
      <w:r>
        <w:rPr>
          <w:rFonts w:ascii="Calibri" w:eastAsia="Calibri" w:hAnsi="Calibri" w:cs="Times New Roman"/>
        </w:rPr>
        <w:t>Subaward</w:t>
      </w:r>
      <w:proofErr w:type="spellEnd"/>
      <w:r>
        <w:rPr>
          <w:rFonts w:ascii="Calibri" w:eastAsia="Calibri" w:hAnsi="Calibri" w:cs="Times New Roman"/>
        </w:rPr>
        <w:t xml:space="preserve"> costs include:</w:t>
      </w:r>
    </w:p>
    <w:p w14:paraId="791CD55C" w14:textId="0E1DDAC6" w:rsidR="008F3446" w:rsidRDefault="008F3446" w:rsidP="008F3446">
      <w:pPr>
        <w:numPr>
          <w:ilvl w:val="2"/>
          <w:numId w:val="23"/>
        </w:numPr>
        <w:spacing w:before="240" w:after="240" w:line="240" w:lineRule="auto"/>
        <w:contextualSpacing/>
        <w:rPr>
          <w:rFonts w:ascii="Calibri" w:eastAsia="Calibri" w:hAnsi="Calibri" w:cs="Times New Roman"/>
        </w:rPr>
      </w:pPr>
      <w:r>
        <w:rPr>
          <w:rFonts w:ascii="Calibri" w:eastAsia="Calibri" w:hAnsi="Calibri" w:cs="Times New Roman"/>
        </w:rPr>
        <w:t>160 hours of labor at $1</w:t>
      </w:r>
      <w:r w:rsidR="00AB269C">
        <w:rPr>
          <w:rFonts w:ascii="Calibri" w:eastAsia="Calibri" w:hAnsi="Calibri" w:cs="Times New Roman"/>
        </w:rPr>
        <w:t>05.14</w:t>
      </w:r>
      <w:r>
        <w:rPr>
          <w:rFonts w:ascii="Calibri" w:eastAsia="Calibri" w:hAnsi="Calibri" w:cs="Times New Roman"/>
        </w:rPr>
        <w:t xml:space="preserve"> per hour, for a total of $</w:t>
      </w:r>
      <w:r w:rsidR="00AB269C">
        <w:rPr>
          <w:rFonts w:ascii="Calibri" w:eastAsia="Calibri" w:hAnsi="Calibri" w:cs="Times New Roman"/>
        </w:rPr>
        <w:t>16</w:t>
      </w:r>
      <w:r>
        <w:rPr>
          <w:rFonts w:ascii="Calibri" w:eastAsia="Calibri" w:hAnsi="Calibri" w:cs="Times New Roman"/>
        </w:rPr>
        <w:t>,</w:t>
      </w:r>
      <w:r w:rsidR="00AB269C">
        <w:rPr>
          <w:rFonts w:ascii="Calibri" w:eastAsia="Calibri" w:hAnsi="Calibri" w:cs="Times New Roman"/>
        </w:rPr>
        <w:t>823</w:t>
      </w:r>
      <w:r>
        <w:rPr>
          <w:rFonts w:ascii="Calibri" w:eastAsia="Calibri" w:hAnsi="Calibri" w:cs="Times New Roman"/>
        </w:rPr>
        <w:t>.  The hourly rate includes fringe benefits.</w:t>
      </w:r>
    </w:p>
    <w:p w14:paraId="623231D1" w14:textId="676B7F25" w:rsidR="008F3446" w:rsidRDefault="008F3446" w:rsidP="008F3446">
      <w:pPr>
        <w:numPr>
          <w:ilvl w:val="2"/>
          <w:numId w:val="23"/>
        </w:numPr>
        <w:spacing w:before="240" w:after="240" w:line="240" w:lineRule="auto"/>
        <w:contextualSpacing/>
        <w:rPr>
          <w:rFonts w:ascii="Calibri" w:eastAsia="Calibri" w:hAnsi="Calibri" w:cs="Times New Roman"/>
        </w:rPr>
      </w:pPr>
      <w:r>
        <w:rPr>
          <w:rFonts w:ascii="Calibri" w:eastAsia="Calibri" w:hAnsi="Calibri" w:cs="Times New Roman"/>
        </w:rPr>
        <w:t xml:space="preserve">Materials costs for </w:t>
      </w:r>
      <w:r w:rsidR="00F8464E">
        <w:rPr>
          <w:rFonts w:ascii="Calibri" w:eastAsia="Calibri" w:hAnsi="Calibri" w:cs="Times New Roman"/>
        </w:rPr>
        <w:t xml:space="preserve">29 </w:t>
      </w:r>
      <w:r>
        <w:rPr>
          <w:rFonts w:ascii="Calibri" w:eastAsia="Calibri" w:hAnsi="Calibri" w:cs="Times New Roman"/>
        </w:rPr>
        <w:t xml:space="preserve">sensors </w:t>
      </w:r>
      <w:r w:rsidR="00AB269C">
        <w:rPr>
          <w:rFonts w:ascii="Calibri" w:eastAsia="Calibri" w:hAnsi="Calibri" w:cs="Times New Roman"/>
        </w:rPr>
        <w:t>(</w:t>
      </w:r>
      <w:r w:rsidR="00F8464E">
        <w:rPr>
          <w:rFonts w:ascii="Calibri" w:eastAsia="Calibri" w:hAnsi="Calibri" w:cs="Times New Roman"/>
        </w:rPr>
        <w:t xml:space="preserve">305 </w:t>
      </w:r>
      <w:r w:rsidR="00AB269C">
        <w:rPr>
          <w:rFonts w:ascii="Calibri" w:eastAsia="Calibri" w:hAnsi="Calibri" w:cs="Times New Roman"/>
        </w:rPr>
        <w:t>each) + specialty gases</w:t>
      </w:r>
      <w:r>
        <w:rPr>
          <w:rFonts w:ascii="Calibri" w:eastAsia="Calibri" w:hAnsi="Calibri" w:cs="Times New Roman"/>
        </w:rPr>
        <w:t>, for a total of $</w:t>
      </w:r>
      <w:r w:rsidR="00F8464E">
        <w:rPr>
          <w:rFonts w:ascii="Calibri" w:eastAsia="Calibri" w:hAnsi="Calibri" w:cs="Times New Roman"/>
        </w:rPr>
        <w:t>9,845</w:t>
      </w:r>
    </w:p>
    <w:p w14:paraId="62034897" w14:textId="05CB6BFB" w:rsidR="00AB269C" w:rsidRDefault="00AB269C" w:rsidP="008F3446">
      <w:pPr>
        <w:numPr>
          <w:ilvl w:val="2"/>
          <w:numId w:val="23"/>
        </w:numPr>
        <w:spacing w:before="240" w:after="240" w:line="240" w:lineRule="auto"/>
        <w:contextualSpacing/>
        <w:rPr>
          <w:rFonts w:ascii="Calibri" w:eastAsia="Calibri" w:hAnsi="Calibri" w:cs="Times New Roman"/>
        </w:rPr>
      </w:pPr>
      <w:r>
        <w:rPr>
          <w:rFonts w:ascii="Calibri" w:eastAsia="Calibri" w:hAnsi="Calibri" w:cs="Times New Roman"/>
        </w:rPr>
        <w:t>Travels for $</w:t>
      </w:r>
      <w:r w:rsidR="002D48FC">
        <w:rPr>
          <w:rFonts w:ascii="Calibri" w:eastAsia="Calibri" w:hAnsi="Calibri" w:cs="Times New Roman"/>
        </w:rPr>
        <w:t>453</w:t>
      </w:r>
    </w:p>
    <w:p w14:paraId="196B3298" w14:textId="21F9AA13" w:rsidR="00AB269C" w:rsidRPr="00337298" w:rsidRDefault="00AB269C" w:rsidP="008F3446">
      <w:pPr>
        <w:numPr>
          <w:ilvl w:val="2"/>
          <w:numId w:val="23"/>
        </w:numPr>
        <w:spacing w:before="240" w:after="240" w:line="240" w:lineRule="auto"/>
        <w:contextualSpacing/>
        <w:rPr>
          <w:rFonts w:ascii="Calibri" w:eastAsia="Calibri" w:hAnsi="Calibri" w:cs="Times New Roman"/>
        </w:rPr>
      </w:pPr>
      <w:r>
        <w:rPr>
          <w:rFonts w:ascii="Calibri" w:eastAsia="Calibri" w:hAnsi="Calibri" w:cs="Times New Roman"/>
        </w:rPr>
        <w:t>Markup for ODCs: 10% of ODC for $1,</w:t>
      </w:r>
      <w:r w:rsidR="00F8464E">
        <w:rPr>
          <w:rFonts w:ascii="Calibri" w:eastAsia="Calibri" w:hAnsi="Calibri" w:cs="Times New Roman"/>
        </w:rPr>
        <w:t>030</w:t>
      </w:r>
    </w:p>
    <w:bookmarkEnd w:id="1"/>
    <w:bookmarkEnd w:id="2"/>
    <w:p w14:paraId="3AAE0175" w14:textId="5D3D0BE6" w:rsidR="008F3446" w:rsidRPr="00030BB4" w:rsidRDefault="008F3446" w:rsidP="008F3446">
      <w:pPr>
        <w:numPr>
          <w:ilvl w:val="0"/>
          <w:numId w:val="23"/>
        </w:numPr>
        <w:spacing w:before="240" w:after="240" w:line="240" w:lineRule="auto"/>
        <w:contextualSpacing/>
        <w:rPr>
          <w:rFonts w:ascii="Calibri" w:eastAsia="Calibri" w:hAnsi="Calibri" w:cs="Times New Roman"/>
          <w:b/>
        </w:rPr>
      </w:pPr>
      <w:r>
        <w:rPr>
          <w:rFonts w:ascii="Calibri" w:eastAsia="Calibri" w:hAnsi="Calibri" w:cs="Times New Roman"/>
          <w:b/>
        </w:rPr>
        <w:t>Indirect</w:t>
      </w:r>
      <w:r w:rsidRPr="00337298">
        <w:rPr>
          <w:rFonts w:ascii="Calibri" w:eastAsia="Calibri" w:hAnsi="Calibri" w:cs="Times New Roman"/>
          <w:b/>
        </w:rPr>
        <w:t xml:space="preserve"> costs</w:t>
      </w:r>
      <w:r w:rsidR="00825BEF">
        <w:rPr>
          <w:rFonts w:ascii="Calibri" w:eastAsia="Calibri" w:hAnsi="Calibri" w:cs="Times New Roman"/>
          <w:b/>
        </w:rPr>
        <w:t xml:space="preserve"> ($</w:t>
      </w:r>
      <w:r w:rsidR="005516C6">
        <w:rPr>
          <w:rFonts w:ascii="Calibri" w:eastAsia="Calibri" w:hAnsi="Calibri" w:cs="Times New Roman"/>
          <w:b/>
        </w:rPr>
        <w:t>12,726</w:t>
      </w:r>
      <w:r>
        <w:rPr>
          <w:rFonts w:ascii="Calibri" w:eastAsia="Calibri" w:hAnsi="Calibri" w:cs="Times New Roman"/>
          <w:b/>
        </w:rPr>
        <w:t>)</w:t>
      </w:r>
      <w:r w:rsidRPr="00030BB4">
        <w:rPr>
          <w:rFonts w:ascii="Calibri" w:eastAsia="Calibri" w:hAnsi="Calibri" w:cs="Times New Roman"/>
          <w:b/>
        </w:rPr>
        <w:t>:</w:t>
      </w:r>
    </w:p>
    <w:p w14:paraId="407AB9E0" w14:textId="5AA75AFC" w:rsidR="008F3446" w:rsidRDefault="008F3446" w:rsidP="00CC478C">
      <w:pPr>
        <w:numPr>
          <w:ilvl w:val="1"/>
          <w:numId w:val="27"/>
        </w:numPr>
        <w:spacing w:before="240" w:after="240" w:line="240" w:lineRule="auto"/>
        <w:contextualSpacing/>
        <w:rPr>
          <w:rFonts w:ascii="Calibri" w:eastAsia="Calibri" w:hAnsi="Calibri" w:cs="Times New Roman"/>
        </w:rPr>
      </w:pPr>
      <w:r>
        <w:rPr>
          <w:rFonts w:ascii="Calibri" w:eastAsia="Calibri" w:hAnsi="Calibri" w:cs="Times New Roman"/>
          <w:noProof/>
        </w:rPr>
        <w:t>Facilities and administration costs are calculated as</w:t>
      </w:r>
      <w:r w:rsidRPr="00337298">
        <w:rPr>
          <w:rFonts w:ascii="Calibri" w:eastAsia="Calibri" w:hAnsi="Calibri" w:cs="Times New Roman"/>
        </w:rPr>
        <w:t xml:space="preserve"> 10% of direct costs.  </w:t>
      </w:r>
    </w:p>
    <w:p w14:paraId="3F398E15" w14:textId="77777777" w:rsidR="008F3446" w:rsidRDefault="008F3446" w:rsidP="008F3446">
      <w:pPr>
        <w:spacing w:before="240" w:after="240" w:line="240" w:lineRule="auto"/>
        <w:contextualSpacing/>
        <w:rPr>
          <w:rFonts w:ascii="Calibri" w:eastAsia="Calibri" w:hAnsi="Calibri" w:cs="Times New Roman"/>
        </w:rPr>
      </w:pPr>
    </w:p>
    <w:p w14:paraId="1E0C8EF4" w14:textId="406DB1A3" w:rsidR="008F3446" w:rsidRPr="00337298" w:rsidRDefault="008F3446" w:rsidP="008F3446">
      <w:pPr>
        <w:spacing w:before="240" w:after="240" w:line="240" w:lineRule="auto"/>
        <w:contextualSpacing/>
        <w:rPr>
          <w:rFonts w:ascii="Calibri" w:eastAsia="Calibri" w:hAnsi="Calibri" w:cs="Times New Roman"/>
        </w:rPr>
      </w:pPr>
      <w:r>
        <w:rPr>
          <w:rFonts w:ascii="Calibri" w:eastAsia="Calibri" w:hAnsi="Calibri" w:cs="Times New Roman"/>
        </w:rPr>
        <w:t xml:space="preserve">Table </w:t>
      </w:r>
      <w:r w:rsidR="00CC478C">
        <w:rPr>
          <w:rFonts w:ascii="Calibri" w:eastAsia="Calibri" w:hAnsi="Calibri" w:cs="Times New Roman"/>
        </w:rPr>
        <w:t>3</w:t>
      </w:r>
      <w:r>
        <w:rPr>
          <w:rFonts w:ascii="Calibri" w:eastAsia="Calibri" w:hAnsi="Calibri" w:cs="Times New Roman"/>
        </w:rPr>
        <w:t xml:space="preserve"> provides a summary of the requested budget, and Table </w:t>
      </w:r>
      <w:r w:rsidR="00CC478C">
        <w:rPr>
          <w:rFonts w:ascii="Calibri" w:eastAsia="Calibri" w:hAnsi="Calibri" w:cs="Times New Roman"/>
        </w:rPr>
        <w:t>4</w:t>
      </w:r>
      <w:r>
        <w:rPr>
          <w:rFonts w:ascii="Calibri" w:eastAsia="Calibri" w:hAnsi="Calibri" w:cs="Times New Roman"/>
        </w:rPr>
        <w:t xml:space="preserve"> breaks down the budget by specific tasks.  </w:t>
      </w:r>
    </w:p>
    <w:p w14:paraId="62D4D984" w14:textId="4393239A" w:rsidR="008F3446" w:rsidRPr="00337298" w:rsidRDefault="008F3446" w:rsidP="008F3446">
      <w:pPr>
        <w:keepNext/>
        <w:numPr>
          <w:ilvl w:val="1"/>
          <w:numId w:val="0"/>
        </w:numPr>
        <w:spacing w:after="0" w:line="240" w:lineRule="auto"/>
        <w:rPr>
          <w:rFonts w:ascii="Calibri" w:eastAsia="MS Mincho" w:hAnsi="Calibri" w:cs="Times New Roman"/>
          <w:b/>
          <w:spacing w:val="15"/>
          <w:sz w:val="20"/>
        </w:rPr>
      </w:pPr>
      <w:bookmarkStart w:id="3" w:name="_Ref531086250"/>
      <w:bookmarkStart w:id="4" w:name="_Toc432076605"/>
      <w:bookmarkStart w:id="5" w:name="_Toc496004815"/>
      <w:bookmarkStart w:id="6" w:name="_Toc531086426"/>
      <w:bookmarkStart w:id="7" w:name="OLE_LINK12"/>
      <w:bookmarkStart w:id="8" w:name="OLE_LINK13"/>
      <w:r w:rsidRPr="00337298">
        <w:rPr>
          <w:rFonts w:ascii="Calibri" w:eastAsia="MS Mincho" w:hAnsi="Calibri" w:cs="Times New Roman"/>
          <w:b/>
          <w:spacing w:val="15"/>
          <w:sz w:val="20"/>
        </w:rPr>
        <w:t xml:space="preserve">Table </w:t>
      </w:r>
      <w:bookmarkEnd w:id="3"/>
      <w:r w:rsidR="00CC478C">
        <w:rPr>
          <w:rFonts w:ascii="Calibri" w:eastAsia="MS Mincho" w:hAnsi="Calibri" w:cs="Times New Roman"/>
          <w:b/>
          <w:noProof/>
          <w:spacing w:val="15"/>
          <w:sz w:val="20"/>
        </w:rPr>
        <w:t>3</w:t>
      </w:r>
      <w:r w:rsidRPr="00337298">
        <w:rPr>
          <w:rFonts w:ascii="Calibri" w:eastAsia="MS Mincho" w:hAnsi="Calibri" w:cs="Times New Roman"/>
          <w:b/>
          <w:spacing w:val="15"/>
          <w:sz w:val="20"/>
        </w:rPr>
        <w:t>. Budget summary.</w:t>
      </w:r>
      <w:bookmarkEnd w:id="4"/>
      <w:bookmarkEnd w:id="5"/>
      <w:bookmarkEnd w:id="6"/>
    </w:p>
    <w:tbl>
      <w:tblPr>
        <w:tblStyle w:val="TableGrid2"/>
        <w:tblW w:w="6565" w:type="dxa"/>
        <w:tblLayout w:type="fixed"/>
        <w:tblLook w:val="04A0" w:firstRow="1" w:lastRow="0" w:firstColumn="1" w:lastColumn="0" w:noHBand="0" w:noVBand="1"/>
      </w:tblPr>
      <w:tblGrid>
        <w:gridCol w:w="4828"/>
        <w:gridCol w:w="1737"/>
      </w:tblGrid>
      <w:tr w:rsidR="008F3446" w:rsidRPr="00337298" w14:paraId="23146C91" w14:textId="77777777" w:rsidTr="00591244">
        <w:trPr>
          <w:trHeight w:hRule="exact" w:val="302"/>
        </w:trPr>
        <w:tc>
          <w:tcPr>
            <w:tcW w:w="4828" w:type="dxa"/>
            <w:shd w:val="clear" w:color="auto" w:fill="D9D9D9"/>
            <w:tcMar>
              <w:left w:w="58" w:type="dxa"/>
              <w:right w:w="58" w:type="dxa"/>
            </w:tcMar>
            <w:vAlign w:val="center"/>
          </w:tcPr>
          <w:p w14:paraId="1AA9839C" w14:textId="77777777" w:rsidR="008F3446" w:rsidRPr="00337298" w:rsidRDefault="008F3446" w:rsidP="003C1A27">
            <w:pPr>
              <w:keepNext/>
              <w:tabs>
                <w:tab w:val="center" w:pos="4680"/>
                <w:tab w:val="right" w:pos="9360"/>
              </w:tabs>
              <w:spacing w:before="60" w:after="60"/>
              <w:rPr>
                <w:rFonts w:ascii="Calibri" w:eastAsia="Calibri" w:hAnsi="Calibri" w:cs="Times New Roman"/>
                <w:b/>
                <w:sz w:val="20"/>
                <w:szCs w:val="20"/>
              </w:rPr>
            </w:pPr>
            <w:r w:rsidRPr="00337298">
              <w:rPr>
                <w:rFonts w:ascii="Calibri" w:eastAsia="Calibri" w:hAnsi="Calibri" w:cs="Times New Roman"/>
                <w:b/>
                <w:sz w:val="20"/>
                <w:szCs w:val="20"/>
              </w:rPr>
              <w:t>CATEGORY</w:t>
            </w:r>
          </w:p>
        </w:tc>
        <w:tc>
          <w:tcPr>
            <w:tcW w:w="1737" w:type="dxa"/>
            <w:shd w:val="clear" w:color="auto" w:fill="D9D9D9"/>
            <w:tcMar>
              <w:left w:w="58" w:type="dxa"/>
              <w:right w:w="58" w:type="dxa"/>
            </w:tcMar>
            <w:vAlign w:val="center"/>
          </w:tcPr>
          <w:p w14:paraId="742AA54D" w14:textId="77777777" w:rsidR="008F3446" w:rsidRPr="00337298" w:rsidRDefault="008F3446" w:rsidP="003C1A27">
            <w:pPr>
              <w:keepNext/>
              <w:tabs>
                <w:tab w:val="center" w:pos="4680"/>
                <w:tab w:val="right" w:pos="9360"/>
              </w:tabs>
              <w:spacing w:before="60" w:after="60"/>
              <w:rPr>
                <w:rFonts w:ascii="Calibri" w:eastAsia="Calibri" w:hAnsi="Calibri" w:cs="Times New Roman"/>
                <w:b/>
                <w:sz w:val="20"/>
                <w:szCs w:val="20"/>
              </w:rPr>
            </w:pPr>
            <w:r w:rsidRPr="00337298">
              <w:rPr>
                <w:rFonts w:ascii="Calibri" w:eastAsia="Calibri" w:hAnsi="Calibri" w:cs="Times New Roman"/>
                <w:b/>
                <w:sz w:val="20"/>
                <w:szCs w:val="20"/>
              </w:rPr>
              <w:t>COST</w:t>
            </w:r>
          </w:p>
        </w:tc>
      </w:tr>
      <w:tr w:rsidR="008F3446" w:rsidRPr="004E5859" w14:paraId="24C4B3F1" w14:textId="77777777" w:rsidTr="00591244">
        <w:trPr>
          <w:trHeight w:hRule="exact" w:val="302"/>
        </w:trPr>
        <w:tc>
          <w:tcPr>
            <w:tcW w:w="4828" w:type="dxa"/>
            <w:vAlign w:val="center"/>
          </w:tcPr>
          <w:p w14:paraId="6195B83C" w14:textId="77777777" w:rsidR="008F3446" w:rsidRPr="00337298" w:rsidRDefault="008F3446" w:rsidP="003C1A27">
            <w:pPr>
              <w:keepNext/>
              <w:tabs>
                <w:tab w:val="center" w:pos="4680"/>
                <w:tab w:val="right" w:pos="9360"/>
              </w:tabs>
              <w:spacing w:before="60" w:after="60"/>
              <w:rPr>
                <w:rFonts w:ascii="Calibri" w:eastAsia="Calibri" w:hAnsi="Calibri" w:cs="Times New Roman"/>
                <w:sz w:val="20"/>
                <w:szCs w:val="20"/>
              </w:rPr>
            </w:pPr>
            <w:r w:rsidRPr="00337298">
              <w:rPr>
                <w:rFonts w:ascii="Calibri" w:eastAsia="Calibri" w:hAnsi="Calibri" w:cs="Times New Roman"/>
                <w:sz w:val="20"/>
                <w:szCs w:val="20"/>
              </w:rPr>
              <w:t>Salaries</w:t>
            </w:r>
          </w:p>
        </w:tc>
        <w:tc>
          <w:tcPr>
            <w:tcW w:w="1737" w:type="dxa"/>
            <w:shd w:val="clear" w:color="auto" w:fill="auto"/>
            <w:vAlign w:val="center"/>
          </w:tcPr>
          <w:p w14:paraId="47C9D387" w14:textId="09FE56D7" w:rsidR="008F3446" w:rsidRPr="004E5859" w:rsidRDefault="008F3446" w:rsidP="00282BCE">
            <w:pPr>
              <w:keepNext/>
              <w:tabs>
                <w:tab w:val="center" w:pos="4680"/>
                <w:tab w:val="right" w:pos="9360"/>
              </w:tabs>
              <w:spacing w:before="60" w:after="60"/>
              <w:jc w:val="right"/>
              <w:rPr>
                <w:rFonts w:ascii="Calibri" w:eastAsia="Calibri" w:hAnsi="Calibri" w:cs="Times New Roman"/>
                <w:sz w:val="20"/>
                <w:szCs w:val="20"/>
              </w:rPr>
            </w:pPr>
            <w:r w:rsidRPr="004E5859">
              <w:rPr>
                <w:rFonts w:ascii="Calibri" w:eastAsia="Calibri" w:hAnsi="Calibri" w:cs="Times New Roman"/>
                <w:sz w:val="20"/>
                <w:szCs w:val="20"/>
              </w:rPr>
              <w:t>$</w:t>
            </w:r>
            <w:r w:rsidR="00282BCE">
              <w:rPr>
                <w:rFonts w:ascii="Calibri" w:eastAsia="Calibri" w:hAnsi="Calibri" w:cs="Times New Roman"/>
                <w:sz w:val="20"/>
                <w:szCs w:val="20"/>
              </w:rPr>
              <w:t>30,187</w:t>
            </w:r>
            <w:r w:rsidRPr="004E5859">
              <w:rPr>
                <w:rFonts w:ascii="Calibri" w:eastAsia="Calibri" w:hAnsi="Calibri" w:cs="Times New Roman"/>
                <w:sz w:val="20"/>
                <w:szCs w:val="20"/>
              </w:rPr>
              <w:t xml:space="preserve"> </w:t>
            </w:r>
          </w:p>
        </w:tc>
        <w:bookmarkStart w:id="9" w:name="_GoBack"/>
        <w:bookmarkEnd w:id="9"/>
      </w:tr>
      <w:tr w:rsidR="008F3446" w:rsidRPr="004E5859" w14:paraId="567A4185" w14:textId="77777777" w:rsidTr="00591244">
        <w:trPr>
          <w:trHeight w:hRule="exact" w:val="302"/>
        </w:trPr>
        <w:tc>
          <w:tcPr>
            <w:tcW w:w="4828" w:type="dxa"/>
            <w:vAlign w:val="center"/>
          </w:tcPr>
          <w:p w14:paraId="2937EC7C" w14:textId="77777777" w:rsidR="008F3446" w:rsidRPr="00337298" w:rsidRDefault="008F3446" w:rsidP="003C1A27">
            <w:pPr>
              <w:keepNext/>
              <w:tabs>
                <w:tab w:val="center" w:pos="4680"/>
                <w:tab w:val="right" w:pos="9360"/>
              </w:tabs>
              <w:spacing w:before="60" w:after="60"/>
              <w:rPr>
                <w:rFonts w:ascii="Calibri" w:eastAsia="Calibri" w:hAnsi="Calibri" w:cs="Times New Roman"/>
                <w:sz w:val="20"/>
                <w:szCs w:val="20"/>
              </w:rPr>
            </w:pPr>
            <w:r>
              <w:rPr>
                <w:rFonts w:ascii="Calibri" w:eastAsia="Calibri" w:hAnsi="Calibri" w:cs="Times New Roman"/>
                <w:sz w:val="20"/>
                <w:szCs w:val="20"/>
              </w:rPr>
              <w:t>Wages</w:t>
            </w:r>
          </w:p>
        </w:tc>
        <w:tc>
          <w:tcPr>
            <w:tcW w:w="1737" w:type="dxa"/>
            <w:shd w:val="clear" w:color="auto" w:fill="auto"/>
            <w:vAlign w:val="center"/>
          </w:tcPr>
          <w:p w14:paraId="617812E8" w14:textId="7D56393D" w:rsidR="008F3446" w:rsidRPr="004E5859" w:rsidRDefault="008F3446" w:rsidP="00282BCE">
            <w:pPr>
              <w:keepNext/>
              <w:tabs>
                <w:tab w:val="center" w:pos="4680"/>
                <w:tab w:val="right" w:pos="9360"/>
              </w:tabs>
              <w:spacing w:before="60" w:after="60"/>
              <w:jc w:val="right"/>
              <w:rPr>
                <w:rFonts w:ascii="Calibri" w:eastAsia="Calibri" w:hAnsi="Calibri" w:cs="Times New Roman"/>
                <w:sz w:val="20"/>
                <w:szCs w:val="20"/>
              </w:rPr>
            </w:pPr>
            <w:r w:rsidRPr="004E5859">
              <w:rPr>
                <w:rFonts w:ascii="Calibri" w:eastAsia="Calibri" w:hAnsi="Calibri" w:cs="Times New Roman"/>
                <w:sz w:val="20"/>
                <w:szCs w:val="20"/>
              </w:rPr>
              <w:t>$</w:t>
            </w:r>
            <w:r w:rsidR="00282BCE">
              <w:rPr>
                <w:rFonts w:ascii="Calibri" w:eastAsia="Calibri" w:hAnsi="Calibri" w:cs="Times New Roman"/>
                <w:sz w:val="20"/>
                <w:szCs w:val="20"/>
              </w:rPr>
              <w:t>4,455</w:t>
            </w:r>
          </w:p>
        </w:tc>
      </w:tr>
      <w:tr w:rsidR="008F3446" w:rsidRPr="004E5859" w14:paraId="598370F1" w14:textId="77777777" w:rsidTr="00591244">
        <w:trPr>
          <w:trHeight w:hRule="exact" w:val="302"/>
        </w:trPr>
        <w:tc>
          <w:tcPr>
            <w:tcW w:w="4828" w:type="dxa"/>
            <w:vAlign w:val="center"/>
          </w:tcPr>
          <w:p w14:paraId="2B307318" w14:textId="77777777" w:rsidR="008F3446" w:rsidRPr="00337298" w:rsidRDefault="008F3446" w:rsidP="003C1A27">
            <w:pPr>
              <w:keepNext/>
              <w:tabs>
                <w:tab w:val="center" w:pos="4680"/>
                <w:tab w:val="right" w:pos="9360"/>
              </w:tabs>
              <w:spacing w:before="60" w:after="60"/>
              <w:rPr>
                <w:rFonts w:ascii="Calibri" w:eastAsia="Calibri" w:hAnsi="Calibri" w:cs="Times New Roman"/>
                <w:sz w:val="20"/>
                <w:szCs w:val="20"/>
              </w:rPr>
            </w:pPr>
            <w:r w:rsidRPr="00337298">
              <w:rPr>
                <w:rFonts w:ascii="Calibri" w:eastAsia="Calibri" w:hAnsi="Calibri" w:cs="Times New Roman"/>
                <w:sz w:val="20"/>
                <w:szCs w:val="20"/>
              </w:rPr>
              <w:t xml:space="preserve">Fringe benefits </w:t>
            </w:r>
          </w:p>
        </w:tc>
        <w:tc>
          <w:tcPr>
            <w:tcW w:w="1737" w:type="dxa"/>
            <w:shd w:val="clear" w:color="auto" w:fill="auto"/>
            <w:vAlign w:val="center"/>
          </w:tcPr>
          <w:p w14:paraId="7CBC2925" w14:textId="51D5A716" w:rsidR="008F3446" w:rsidRPr="004E5859" w:rsidRDefault="008F3446" w:rsidP="00825BEF">
            <w:pPr>
              <w:keepNext/>
              <w:tabs>
                <w:tab w:val="center" w:pos="4680"/>
                <w:tab w:val="right" w:pos="9360"/>
              </w:tabs>
              <w:spacing w:before="60" w:after="60"/>
              <w:jc w:val="right"/>
              <w:rPr>
                <w:rFonts w:ascii="Calibri" w:eastAsia="Calibri" w:hAnsi="Calibri" w:cs="Times New Roman"/>
                <w:sz w:val="20"/>
                <w:szCs w:val="20"/>
              </w:rPr>
            </w:pPr>
            <w:r w:rsidRPr="004E5859">
              <w:rPr>
                <w:rFonts w:ascii="Calibri" w:eastAsia="Calibri" w:hAnsi="Calibri" w:cs="Times New Roman"/>
                <w:sz w:val="20"/>
                <w:szCs w:val="20"/>
              </w:rPr>
              <w:t>$</w:t>
            </w:r>
            <w:r w:rsidR="00282BCE" w:rsidRPr="007E5AC0">
              <w:rPr>
                <w:rFonts w:ascii="Calibri" w:eastAsia="Calibri" w:hAnsi="Calibri" w:cs="Times New Roman"/>
                <w:sz w:val="20"/>
                <w:szCs w:val="20"/>
              </w:rPr>
              <w:t>14,075</w:t>
            </w:r>
          </w:p>
        </w:tc>
      </w:tr>
      <w:tr w:rsidR="008F3446" w:rsidRPr="004E5859" w14:paraId="55360186" w14:textId="77777777" w:rsidTr="00591244">
        <w:trPr>
          <w:trHeight w:hRule="exact" w:val="302"/>
        </w:trPr>
        <w:tc>
          <w:tcPr>
            <w:tcW w:w="4828" w:type="dxa"/>
            <w:vAlign w:val="center"/>
          </w:tcPr>
          <w:p w14:paraId="2290BB2C" w14:textId="77777777" w:rsidR="008F3446" w:rsidRPr="00337298" w:rsidRDefault="008F3446" w:rsidP="003C1A27">
            <w:pPr>
              <w:keepNext/>
              <w:tabs>
                <w:tab w:val="center" w:pos="4680"/>
                <w:tab w:val="right" w:pos="9360"/>
              </w:tabs>
              <w:spacing w:before="60" w:after="60"/>
              <w:rPr>
                <w:rFonts w:ascii="Calibri" w:eastAsia="Calibri" w:hAnsi="Calibri" w:cs="Times New Roman"/>
                <w:sz w:val="20"/>
                <w:szCs w:val="20"/>
              </w:rPr>
            </w:pPr>
            <w:r w:rsidRPr="00337298">
              <w:rPr>
                <w:rFonts w:ascii="Calibri" w:eastAsia="Calibri" w:hAnsi="Calibri" w:cs="Times New Roman"/>
                <w:sz w:val="20"/>
                <w:szCs w:val="20"/>
              </w:rPr>
              <w:t>Travel</w:t>
            </w:r>
          </w:p>
        </w:tc>
        <w:tc>
          <w:tcPr>
            <w:tcW w:w="1737" w:type="dxa"/>
            <w:vAlign w:val="center"/>
          </w:tcPr>
          <w:p w14:paraId="256956DC" w14:textId="6B205239" w:rsidR="008F3446" w:rsidRPr="004E5859" w:rsidRDefault="008F3446" w:rsidP="00282BCE">
            <w:pPr>
              <w:keepNext/>
              <w:tabs>
                <w:tab w:val="center" w:pos="4680"/>
                <w:tab w:val="right" w:pos="9360"/>
              </w:tabs>
              <w:spacing w:before="60" w:after="60"/>
              <w:jc w:val="right"/>
              <w:rPr>
                <w:rFonts w:ascii="Calibri" w:eastAsia="Calibri" w:hAnsi="Calibri" w:cs="Times New Roman"/>
                <w:sz w:val="20"/>
                <w:szCs w:val="20"/>
              </w:rPr>
            </w:pPr>
            <w:r w:rsidRPr="004E5859">
              <w:rPr>
                <w:rFonts w:ascii="Calibri" w:eastAsia="Calibri" w:hAnsi="Calibri" w:cs="Times New Roman"/>
                <w:sz w:val="20"/>
                <w:szCs w:val="20"/>
              </w:rPr>
              <w:t>$</w:t>
            </w:r>
            <w:r w:rsidR="00B801B9">
              <w:rPr>
                <w:rFonts w:ascii="Calibri" w:eastAsia="Calibri" w:hAnsi="Calibri" w:cs="Times New Roman"/>
                <w:sz w:val="20"/>
                <w:szCs w:val="20"/>
              </w:rPr>
              <w:t>5,03</w:t>
            </w:r>
            <w:r w:rsidR="00282BCE">
              <w:rPr>
                <w:rFonts w:ascii="Calibri" w:eastAsia="Calibri" w:hAnsi="Calibri" w:cs="Times New Roman"/>
                <w:sz w:val="20"/>
                <w:szCs w:val="20"/>
              </w:rPr>
              <w:t>2</w:t>
            </w:r>
          </w:p>
        </w:tc>
      </w:tr>
      <w:tr w:rsidR="008F3446" w:rsidRPr="004E5859" w14:paraId="6BA15BE1" w14:textId="77777777" w:rsidTr="00591244">
        <w:trPr>
          <w:trHeight w:hRule="exact" w:val="302"/>
        </w:trPr>
        <w:tc>
          <w:tcPr>
            <w:tcW w:w="4828" w:type="dxa"/>
            <w:vAlign w:val="center"/>
          </w:tcPr>
          <w:p w14:paraId="13E55616" w14:textId="77777777" w:rsidR="008F3446" w:rsidRPr="00337298" w:rsidRDefault="008F3446" w:rsidP="003C1A27">
            <w:pPr>
              <w:keepNext/>
              <w:tabs>
                <w:tab w:val="center" w:pos="4680"/>
                <w:tab w:val="right" w:pos="9360"/>
              </w:tabs>
              <w:spacing w:before="60" w:after="60"/>
              <w:rPr>
                <w:rFonts w:ascii="Calibri" w:eastAsia="Calibri" w:hAnsi="Calibri" w:cs="Times New Roman"/>
                <w:sz w:val="20"/>
                <w:szCs w:val="20"/>
              </w:rPr>
            </w:pPr>
            <w:r w:rsidRPr="00337298">
              <w:rPr>
                <w:rFonts w:ascii="Calibri" w:eastAsia="Calibri" w:hAnsi="Calibri" w:cs="Times New Roman"/>
                <w:sz w:val="20"/>
                <w:szCs w:val="20"/>
              </w:rPr>
              <w:t>Materials</w:t>
            </w:r>
          </w:p>
        </w:tc>
        <w:tc>
          <w:tcPr>
            <w:tcW w:w="1737" w:type="dxa"/>
            <w:vAlign w:val="center"/>
          </w:tcPr>
          <w:p w14:paraId="60244CC0" w14:textId="09B6ABD5" w:rsidR="008F3446" w:rsidRPr="004E5859" w:rsidRDefault="008F3446" w:rsidP="00282BCE">
            <w:pPr>
              <w:keepNext/>
              <w:tabs>
                <w:tab w:val="center" w:pos="4680"/>
                <w:tab w:val="right" w:pos="9360"/>
              </w:tabs>
              <w:spacing w:before="60" w:after="60"/>
              <w:jc w:val="right"/>
              <w:rPr>
                <w:rFonts w:ascii="Calibri" w:eastAsia="Calibri" w:hAnsi="Calibri" w:cs="Times New Roman"/>
                <w:sz w:val="20"/>
                <w:szCs w:val="20"/>
              </w:rPr>
            </w:pPr>
            <w:r w:rsidRPr="004E5859">
              <w:rPr>
                <w:rFonts w:ascii="Calibri" w:eastAsia="Calibri" w:hAnsi="Calibri" w:cs="Times New Roman"/>
                <w:sz w:val="20"/>
                <w:szCs w:val="20"/>
              </w:rPr>
              <w:t>$</w:t>
            </w:r>
            <w:r w:rsidR="00282BCE">
              <w:rPr>
                <w:rFonts w:ascii="Calibri" w:eastAsia="Calibri" w:hAnsi="Calibri" w:cs="Times New Roman"/>
                <w:sz w:val="20"/>
                <w:szCs w:val="20"/>
              </w:rPr>
              <w:t>45,374</w:t>
            </w:r>
          </w:p>
        </w:tc>
      </w:tr>
      <w:tr w:rsidR="008F3446" w:rsidRPr="00337298" w14:paraId="25D444D0" w14:textId="77777777" w:rsidTr="00591244">
        <w:trPr>
          <w:trHeight w:hRule="exact" w:val="302"/>
        </w:trPr>
        <w:tc>
          <w:tcPr>
            <w:tcW w:w="4828" w:type="dxa"/>
            <w:vAlign w:val="center"/>
          </w:tcPr>
          <w:p w14:paraId="284EC9CA" w14:textId="77777777" w:rsidR="008F3446" w:rsidRPr="00337298" w:rsidRDefault="008F3446" w:rsidP="003C1A27">
            <w:pPr>
              <w:keepNext/>
              <w:tabs>
                <w:tab w:val="center" w:pos="4680"/>
                <w:tab w:val="right" w:pos="9360"/>
              </w:tabs>
              <w:spacing w:before="60" w:after="60"/>
              <w:rPr>
                <w:rFonts w:ascii="Calibri" w:eastAsia="Calibri" w:hAnsi="Calibri" w:cs="Times New Roman"/>
                <w:sz w:val="20"/>
                <w:szCs w:val="20"/>
              </w:rPr>
            </w:pPr>
            <w:proofErr w:type="spellStart"/>
            <w:r>
              <w:rPr>
                <w:rFonts w:ascii="Calibri" w:eastAsia="Calibri" w:hAnsi="Calibri" w:cs="Times New Roman"/>
                <w:sz w:val="20"/>
                <w:szCs w:val="20"/>
              </w:rPr>
              <w:t>Subaward</w:t>
            </w:r>
            <w:proofErr w:type="spellEnd"/>
            <w:r>
              <w:rPr>
                <w:rFonts w:ascii="Calibri" w:eastAsia="Calibri" w:hAnsi="Calibri" w:cs="Times New Roman"/>
                <w:sz w:val="20"/>
                <w:szCs w:val="20"/>
              </w:rPr>
              <w:t xml:space="preserve"> to ERG, Inc.</w:t>
            </w:r>
          </w:p>
        </w:tc>
        <w:tc>
          <w:tcPr>
            <w:tcW w:w="1737" w:type="dxa"/>
            <w:vAlign w:val="center"/>
          </w:tcPr>
          <w:p w14:paraId="71A01861" w14:textId="2CE6BC32" w:rsidR="008F3446" w:rsidRDefault="008F3446" w:rsidP="00B801B9">
            <w:pPr>
              <w:keepNext/>
              <w:tabs>
                <w:tab w:val="center" w:pos="4680"/>
                <w:tab w:val="right" w:pos="9360"/>
              </w:tabs>
              <w:spacing w:before="60" w:after="60"/>
              <w:jc w:val="right"/>
              <w:rPr>
                <w:rFonts w:ascii="Calibri" w:eastAsia="Calibri" w:hAnsi="Calibri" w:cs="Times New Roman"/>
                <w:sz w:val="20"/>
                <w:szCs w:val="20"/>
              </w:rPr>
            </w:pPr>
            <w:r>
              <w:rPr>
                <w:rFonts w:ascii="Calibri" w:eastAsia="Calibri" w:hAnsi="Calibri" w:cs="Times New Roman"/>
                <w:sz w:val="20"/>
                <w:szCs w:val="20"/>
              </w:rPr>
              <w:t>$</w:t>
            </w:r>
            <w:r w:rsidR="00B801B9">
              <w:rPr>
                <w:rFonts w:ascii="Calibri" w:eastAsia="Calibri" w:hAnsi="Calibri" w:cs="Times New Roman"/>
                <w:sz w:val="20"/>
                <w:szCs w:val="20"/>
              </w:rPr>
              <w:t>28,151</w:t>
            </w:r>
          </w:p>
        </w:tc>
      </w:tr>
      <w:tr w:rsidR="008F3446" w:rsidRPr="00337298" w14:paraId="36FFE3EF" w14:textId="77777777" w:rsidTr="00591244">
        <w:trPr>
          <w:trHeight w:hRule="exact" w:val="302"/>
        </w:trPr>
        <w:tc>
          <w:tcPr>
            <w:tcW w:w="4828" w:type="dxa"/>
            <w:vAlign w:val="center"/>
          </w:tcPr>
          <w:p w14:paraId="5B60B7E7" w14:textId="77777777" w:rsidR="008F3446" w:rsidRPr="00337298" w:rsidRDefault="008F3446" w:rsidP="003C1A27">
            <w:pPr>
              <w:keepNext/>
              <w:tabs>
                <w:tab w:val="center" w:pos="4680"/>
                <w:tab w:val="right" w:pos="9360"/>
              </w:tabs>
              <w:spacing w:before="60" w:after="60"/>
              <w:rPr>
                <w:rFonts w:ascii="Calibri" w:eastAsia="Calibri" w:hAnsi="Calibri" w:cs="Times New Roman"/>
                <w:sz w:val="20"/>
                <w:szCs w:val="20"/>
              </w:rPr>
            </w:pPr>
            <w:r w:rsidRPr="00337298">
              <w:rPr>
                <w:rFonts w:ascii="Calibri" w:eastAsia="Calibri" w:hAnsi="Calibri" w:cs="Times New Roman"/>
                <w:sz w:val="20"/>
                <w:szCs w:val="20"/>
              </w:rPr>
              <w:t xml:space="preserve">Facilities and Administration Costs </w:t>
            </w:r>
          </w:p>
        </w:tc>
        <w:tc>
          <w:tcPr>
            <w:tcW w:w="1737" w:type="dxa"/>
            <w:vAlign w:val="center"/>
          </w:tcPr>
          <w:p w14:paraId="287BF8AE" w14:textId="528DE205" w:rsidR="008F3446" w:rsidRPr="00337298" w:rsidRDefault="008F3446" w:rsidP="00282BCE">
            <w:pPr>
              <w:keepNext/>
              <w:tabs>
                <w:tab w:val="center" w:pos="4680"/>
                <w:tab w:val="right" w:pos="9360"/>
              </w:tabs>
              <w:spacing w:before="60" w:after="60"/>
              <w:jc w:val="right"/>
              <w:rPr>
                <w:rFonts w:ascii="Calibri" w:eastAsia="Calibri" w:hAnsi="Calibri" w:cs="Times New Roman"/>
                <w:sz w:val="20"/>
                <w:szCs w:val="20"/>
              </w:rPr>
            </w:pPr>
            <w:r>
              <w:rPr>
                <w:rFonts w:ascii="Calibri" w:eastAsia="Calibri" w:hAnsi="Calibri" w:cs="Times New Roman"/>
                <w:sz w:val="20"/>
                <w:szCs w:val="20"/>
              </w:rPr>
              <w:t>$</w:t>
            </w:r>
            <w:r w:rsidR="00282BCE">
              <w:rPr>
                <w:rFonts w:ascii="Calibri" w:eastAsia="Calibri" w:hAnsi="Calibri" w:cs="Times New Roman"/>
                <w:sz w:val="20"/>
                <w:szCs w:val="20"/>
              </w:rPr>
              <w:t>12,726</w:t>
            </w:r>
          </w:p>
        </w:tc>
      </w:tr>
      <w:tr w:rsidR="008F3446" w:rsidRPr="00337298" w14:paraId="0114033C" w14:textId="77777777" w:rsidTr="00591244">
        <w:trPr>
          <w:trHeight w:hRule="exact" w:val="302"/>
        </w:trPr>
        <w:tc>
          <w:tcPr>
            <w:tcW w:w="4828" w:type="dxa"/>
            <w:vAlign w:val="center"/>
          </w:tcPr>
          <w:p w14:paraId="11D80E8F" w14:textId="77777777" w:rsidR="008F3446" w:rsidRPr="00337298" w:rsidRDefault="008F3446" w:rsidP="003C1A27">
            <w:pPr>
              <w:keepNext/>
              <w:tabs>
                <w:tab w:val="center" w:pos="4680"/>
                <w:tab w:val="right" w:pos="9360"/>
              </w:tabs>
              <w:spacing w:before="60" w:after="60"/>
              <w:jc w:val="right"/>
              <w:rPr>
                <w:rFonts w:ascii="Calibri" w:eastAsia="Calibri" w:hAnsi="Calibri" w:cs="Times New Roman"/>
                <w:b/>
                <w:sz w:val="20"/>
                <w:szCs w:val="20"/>
              </w:rPr>
            </w:pPr>
            <w:r w:rsidRPr="00337298">
              <w:rPr>
                <w:rFonts w:ascii="Calibri" w:eastAsia="Calibri" w:hAnsi="Calibri" w:cs="Times New Roman"/>
                <w:b/>
                <w:sz w:val="20"/>
                <w:szCs w:val="20"/>
              </w:rPr>
              <w:t>TOTAL</w:t>
            </w:r>
          </w:p>
        </w:tc>
        <w:tc>
          <w:tcPr>
            <w:tcW w:w="1737" w:type="dxa"/>
            <w:vAlign w:val="center"/>
          </w:tcPr>
          <w:p w14:paraId="28B34969" w14:textId="247CF527" w:rsidR="008F3446" w:rsidRPr="00337298" w:rsidRDefault="008F3446" w:rsidP="00B801B9">
            <w:pPr>
              <w:keepNext/>
              <w:tabs>
                <w:tab w:val="center" w:pos="4680"/>
                <w:tab w:val="right" w:pos="9360"/>
              </w:tabs>
              <w:spacing w:before="60" w:after="60"/>
              <w:jc w:val="right"/>
              <w:rPr>
                <w:rFonts w:ascii="Calibri" w:eastAsia="Calibri" w:hAnsi="Calibri" w:cs="Times New Roman"/>
                <w:b/>
                <w:sz w:val="20"/>
                <w:szCs w:val="20"/>
              </w:rPr>
            </w:pPr>
            <w:r w:rsidRPr="00337298">
              <w:rPr>
                <w:rFonts w:ascii="Calibri" w:eastAsia="Calibri" w:hAnsi="Calibri" w:cs="Times New Roman"/>
                <w:b/>
                <w:sz w:val="20"/>
                <w:szCs w:val="20"/>
              </w:rPr>
              <w:t>$</w:t>
            </w:r>
            <w:r w:rsidR="00B801B9">
              <w:rPr>
                <w:rFonts w:ascii="Calibri" w:eastAsia="Calibri" w:hAnsi="Calibri" w:cs="Times New Roman"/>
                <w:b/>
                <w:sz w:val="20"/>
                <w:szCs w:val="20"/>
              </w:rPr>
              <w:t>140,000</w:t>
            </w:r>
          </w:p>
        </w:tc>
      </w:tr>
      <w:bookmarkEnd w:id="7"/>
      <w:bookmarkEnd w:id="8"/>
    </w:tbl>
    <w:p w14:paraId="14A89FED" w14:textId="77777777" w:rsidR="00825BEF" w:rsidRDefault="00825BEF" w:rsidP="008F3446">
      <w:pPr>
        <w:keepNext/>
        <w:numPr>
          <w:ilvl w:val="1"/>
          <w:numId w:val="0"/>
        </w:numPr>
        <w:spacing w:after="0" w:line="240" w:lineRule="auto"/>
        <w:rPr>
          <w:rFonts w:ascii="Calibri" w:eastAsia="MS Mincho" w:hAnsi="Calibri" w:cs="Times New Roman"/>
          <w:b/>
          <w:spacing w:val="15"/>
          <w:sz w:val="20"/>
        </w:rPr>
      </w:pPr>
    </w:p>
    <w:p w14:paraId="075CA966" w14:textId="5459D0B5" w:rsidR="008F3446" w:rsidRPr="00337298" w:rsidRDefault="008F3446" w:rsidP="008F3446">
      <w:pPr>
        <w:keepNext/>
        <w:numPr>
          <w:ilvl w:val="1"/>
          <w:numId w:val="0"/>
        </w:numPr>
        <w:spacing w:after="0" w:line="240" w:lineRule="auto"/>
        <w:rPr>
          <w:rFonts w:ascii="Calibri" w:eastAsia="MS Mincho" w:hAnsi="Calibri" w:cs="Times New Roman"/>
          <w:b/>
          <w:spacing w:val="15"/>
          <w:sz w:val="20"/>
        </w:rPr>
      </w:pPr>
      <w:r w:rsidRPr="00337298">
        <w:rPr>
          <w:rFonts w:ascii="Calibri" w:eastAsia="MS Mincho" w:hAnsi="Calibri" w:cs="Times New Roman"/>
          <w:b/>
          <w:spacing w:val="15"/>
          <w:sz w:val="20"/>
        </w:rPr>
        <w:t xml:space="preserve">Table </w:t>
      </w:r>
      <w:r w:rsidR="00CC478C">
        <w:rPr>
          <w:rFonts w:ascii="Calibri" w:eastAsia="MS Mincho" w:hAnsi="Calibri" w:cs="Times New Roman"/>
          <w:b/>
          <w:noProof/>
          <w:spacing w:val="15"/>
          <w:sz w:val="20"/>
        </w:rPr>
        <w:t>4</w:t>
      </w:r>
      <w:r w:rsidRPr="00337298">
        <w:rPr>
          <w:rFonts w:ascii="Calibri" w:eastAsia="MS Mincho" w:hAnsi="Calibri" w:cs="Times New Roman"/>
          <w:b/>
          <w:spacing w:val="15"/>
          <w:sz w:val="20"/>
        </w:rPr>
        <w:t xml:space="preserve">. Budget </w:t>
      </w:r>
      <w:r>
        <w:rPr>
          <w:rFonts w:ascii="Calibri" w:eastAsia="MS Mincho" w:hAnsi="Calibri" w:cs="Times New Roman"/>
          <w:b/>
          <w:spacing w:val="15"/>
          <w:sz w:val="20"/>
        </w:rPr>
        <w:t>broken down by project task</w:t>
      </w:r>
      <w:r w:rsidRPr="00337298">
        <w:rPr>
          <w:rFonts w:ascii="Calibri" w:eastAsia="MS Mincho" w:hAnsi="Calibri" w:cs="Times New Roman"/>
          <w:b/>
          <w:spacing w:val="15"/>
          <w:sz w:val="20"/>
        </w:rPr>
        <w:t>.</w:t>
      </w:r>
    </w:p>
    <w:tbl>
      <w:tblPr>
        <w:tblStyle w:val="TableGrid2"/>
        <w:tblW w:w="6759" w:type="dxa"/>
        <w:tblLayout w:type="fixed"/>
        <w:tblLook w:val="04A0" w:firstRow="1" w:lastRow="0" w:firstColumn="1" w:lastColumn="0" w:noHBand="0" w:noVBand="1"/>
      </w:tblPr>
      <w:tblGrid>
        <w:gridCol w:w="4971"/>
        <w:gridCol w:w="1788"/>
      </w:tblGrid>
      <w:tr w:rsidR="008F3446" w:rsidRPr="00337298" w14:paraId="23CCDA20" w14:textId="77777777" w:rsidTr="00825BEF">
        <w:trPr>
          <w:trHeight w:hRule="exact" w:val="374"/>
        </w:trPr>
        <w:tc>
          <w:tcPr>
            <w:tcW w:w="4971" w:type="dxa"/>
            <w:shd w:val="clear" w:color="auto" w:fill="D9D9D9"/>
            <w:tcMar>
              <w:left w:w="58" w:type="dxa"/>
              <w:right w:w="58" w:type="dxa"/>
            </w:tcMar>
            <w:vAlign w:val="center"/>
          </w:tcPr>
          <w:p w14:paraId="08DB5DCA" w14:textId="77777777" w:rsidR="008F3446" w:rsidRPr="00337298" w:rsidRDefault="008F3446" w:rsidP="003C1A27">
            <w:pPr>
              <w:keepNext/>
              <w:tabs>
                <w:tab w:val="center" w:pos="4680"/>
                <w:tab w:val="right" w:pos="9360"/>
              </w:tabs>
              <w:spacing w:before="60" w:after="60"/>
              <w:rPr>
                <w:rFonts w:ascii="Calibri" w:eastAsia="Calibri" w:hAnsi="Calibri" w:cs="Times New Roman"/>
                <w:b/>
                <w:sz w:val="20"/>
                <w:szCs w:val="20"/>
              </w:rPr>
            </w:pPr>
            <w:r>
              <w:rPr>
                <w:rFonts w:ascii="Calibri" w:eastAsia="Calibri" w:hAnsi="Calibri" w:cs="Times New Roman"/>
                <w:b/>
                <w:sz w:val="20"/>
                <w:szCs w:val="20"/>
              </w:rPr>
              <w:t>TASK</w:t>
            </w:r>
          </w:p>
        </w:tc>
        <w:tc>
          <w:tcPr>
            <w:tcW w:w="1788" w:type="dxa"/>
            <w:shd w:val="clear" w:color="auto" w:fill="D9D9D9"/>
            <w:tcMar>
              <w:left w:w="58" w:type="dxa"/>
              <w:right w:w="58" w:type="dxa"/>
            </w:tcMar>
            <w:vAlign w:val="center"/>
          </w:tcPr>
          <w:p w14:paraId="62A9B68B" w14:textId="77777777" w:rsidR="008F3446" w:rsidRPr="00337298" w:rsidRDefault="008F3446" w:rsidP="003C1A27">
            <w:pPr>
              <w:keepNext/>
              <w:tabs>
                <w:tab w:val="center" w:pos="4680"/>
                <w:tab w:val="right" w:pos="9360"/>
              </w:tabs>
              <w:spacing w:before="60" w:after="60"/>
              <w:rPr>
                <w:rFonts w:ascii="Calibri" w:eastAsia="Calibri" w:hAnsi="Calibri" w:cs="Times New Roman"/>
                <w:b/>
                <w:sz w:val="20"/>
                <w:szCs w:val="20"/>
              </w:rPr>
            </w:pPr>
            <w:r w:rsidRPr="00337298">
              <w:rPr>
                <w:rFonts w:ascii="Calibri" w:eastAsia="Calibri" w:hAnsi="Calibri" w:cs="Times New Roman"/>
                <w:b/>
                <w:sz w:val="20"/>
                <w:szCs w:val="20"/>
              </w:rPr>
              <w:t>COST</w:t>
            </w:r>
          </w:p>
        </w:tc>
      </w:tr>
      <w:tr w:rsidR="008F3446" w:rsidRPr="00337298" w14:paraId="5A8C0E96" w14:textId="77777777" w:rsidTr="00825BEF">
        <w:trPr>
          <w:trHeight w:hRule="exact" w:val="374"/>
        </w:trPr>
        <w:tc>
          <w:tcPr>
            <w:tcW w:w="4971" w:type="dxa"/>
            <w:vAlign w:val="center"/>
          </w:tcPr>
          <w:p w14:paraId="04D8B91F" w14:textId="77777777" w:rsidR="008F3446" w:rsidRPr="00337298" w:rsidRDefault="008F3446" w:rsidP="003C1A27">
            <w:pPr>
              <w:keepNext/>
              <w:tabs>
                <w:tab w:val="center" w:pos="4680"/>
                <w:tab w:val="right" w:pos="9360"/>
              </w:tabs>
              <w:spacing w:before="60" w:after="60"/>
              <w:rPr>
                <w:rFonts w:ascii="Calibri" w:eastAsia="Calibri" w:hAnsi="Calibri" w:cs="Times New Roman"/>
                <w:sz w:val="20"/>
                <w:szCs w:val="20"/>
              </w:rPr>
            </w:pPr>
            <w:r>
              <w:rPr>
                <w:rFonts w:ascii="Calibri" w:eastAsia="Calibri" w:hAnsi="Calibri" w:cs="Times New Roman"/>
                <w:sz w:val="20"/>
                <w:szCs w:val="20"/>
              </w:rPr>
              <w:t>Sample collection and analysis, including construction and testing of sampling equipment</w:t>
            </w:r>
          </w:p>
        </w:tc>
        <w:tc>
          <w:tcPr>
            <w:tcW w:w="1788" w:type="dxa"/>
            <w:shd w:val="clear" w:color="auto" w:fill="auto"/>
            <w:vAlign w:val="center"/>
          </w:tcPr>
          <w:p w14:paraId="09429648" w14:textId="2A09276D" w:rsidR="008F3446" w:rsidRPr="00337298" w:rsidRDefault="008F3446" w:rsidP="00B801B9">
            <w:pPr>
              <w:keepNext/>
              <w:tabs>
                <w:tab w:val="center" w:pos="4680"/>
                <w:tab w:val="right" w:pos="9360"/>
              </w:tabs>
              <w:spacing w:before="60" w:after="60"/>
              <w:jc w:val="right"/>
              <w:rPr>
                <w:rFonts w:ascii="Calibri" w:eastAsia="Calibri" w:hAnsi="Calibri" w:cs="Times New Roman"/>
                <w:sz w:val="20"/>
                <w:szCs w:val="20"/>
              </w:rPr>
            </w:pPr>
            <w:r w:rsidRPr="00337298">
              <w:rPr>
                <w:rFonts w:ascii="Calibri" w:eastAsia="Calibri" w:hAnsi="Calibri" w:cs="Times New Roman"/>
                <w:sz w:val="20"/>
                <w:szCs w:val="20"/>
              </w:rPr>
              <w:t>$</w:t>
            </w:r>
            <w:r w:rsidR="00B801B9">
              <w:rPr>
                <w:rFonts w:ascii="Calibri" w:eastAsia="Calibri" w:hAnsi="Calibri" w:cs="Times New Roman"/>
                <w:sz w:val="20"/>
                <w:szCs w:val="20"/>
              </w:rPr>
              <w:t>103,190</w:t>
            </w:r>
            <w:r w:rsidRPr="00337298">
              <w:rPr>
                <w:rFonts w:ascii="Calibri" w:eastAsia="Calibri" w:hAnsi="Calibri" w:cs="Times New Roman"/>
                <w:sz w:val="20"/>
                <w:szCs w:val="20"/>
              </w:rPr>
              <w:t xml:space="preserve"> </w:t>
            </w:r>
          </w:p>
        </w:tc>
      </w:tr>
      <w:tr w:rsidR="008F3446" w:rsidRPr="00337298" w14:paraId="3870F911" w14:textId="77777777" w:rsidTr="00825BEF">
        <w:trPr>
          <w:trHeight w:hRule="exact" w:val="374"/>
        </w:trPr>
        <w:tc>
          <w:tcPr>
            <w:tcW w:w="4971" w:type="dxa"/>
            <w:vAlign w:val="center"/>
          </w:tcPr>
          <w:p w14:paraId="4A1886CE" w14:textId="77777777" w:rsidR="008F3446" w:rsidRPr="00337298" w:rsidRDefault="008F3446" w:rsidP="003C1A27">
            <w:pPr>
              <w:keepNext/>
              <w:tabs>
                <w:tab w:val="center" w:pos="4680"/>
                <w:tab w:val="right" w:pos="9360"/>
              </w:tabs>
              <w:spacing w:before="60" w:after="60"/>
              <w:rPr>
                <w:rFonts w:ascii="Calibri" w:eastAsia="Calibri" w:hAnsi="Calibri" w:cs="Times New Roman"/>
                <w:sz w:val="20"/>
                <w:szCs w:val="20"/>
              </w:rPr>
            </w:pPr>
            <w:r>
              <w:rPr>
                <w:rFonts w:ascii="Calibri" w:eastAsia="Calibri" w:hAnsi="Calibri" w:cs="Times New Roman"/>
                <w:sz w:val="20"/>
                <w:szCs w:val="20"/>
              </w:rPr>
              <w:t>Receptor modeling</w:t>
            </w:r>
          </w:p>
        </w:tc>
        <w:tc>
          <w:tcPr>
            <w:tcW w:w="1788" w:type="dxa"/>
            <w:shd w:val="clear" w:color="auto" w:fill="auto"/>
            <w:vAlign w:val="center"/>
          </w:tcPr>
          <w:p w14:paraId="29F85F69" w14:textId="77777777" w:rsidR="008F3446" w:rsidRPr="00337298" w:rsidRDefault="008F3446" w:rsidP="003C1A27">
            <w:pPr>
              <w:keepNext/>
              <w:tabs>
                <w:tab w:val="center" w:pos="4680"/>
                <w:tab w:val="right" w:pos="9360"/>
              </w:tabs>
              <w:spacing w:before="60" w:after="60"/>
              <w:jc w:val="right"/>
              <w:rPr>
                <w:rFonts w:ascii="Calibri" w:eastAsia="Calibri" w:hAnsi="Calibri" w:cs="Times New Roman"/>
                <w:sz w:val="20"/>
                <w:szCs w:val="20"/>
              </w:rPr>
            </w:pPr>
            <w:r>
              <w:rPr>
                <w:rFonts w:ascii="Calibri" w:eastAsia="Calibri" w:hAnsi="Calibri" w:cs="Times New Roman"/>
                <w:sz w:val="20"/>
                <w:szCs w:val="20"/>
              </w:rPr>
              <w:t>$17,827</w:t>
            </w:r>
          </w:p>
        </w:tc>
      </w:tr>
      <w:tr w:rsidR="008F3446" w:rsidRPr="00337298" w14:paraId="369E2225" w14:textId="77777777" w:rsidTr="00825BEF">
        <w:trPr>
          <w:trHeight w:hRule="exact" w:val="374"/>
        </w:trPr>
        <w:tc>
          <w:tcPr>
            <w:tcW w:w="4971" w:type="dxa"/>
            <w:vAlign w:val="center"/>
          </w:tcPr>
          <w:p w14:paraId="610FC44F" w14:textId="77777777" w:rsidR="008F3446" w:rsidRPr="00337298" w:rsidRDefault="008F3446" w:rsidP="003C1A27">
            <w:pPr>
              <w:keepNext/>
              <w:tabs>
                <w:tab w:val="center" w:pos="4680"/>
                <w:tab w:val="right" w:pos="9360"/>
              </w:tabs>
              <w:spacing w:before="60" w:after="60"/>
              <w:rPr>
                <w:rFonts w:ascii="Calibri" w:eastAsia="Calibri" w:hAnsi="Calibri" w:cs="Times New Roman"/>
                <w:sz w:val="20"/>
                <w:szCs w:val="20"/>
              </w:rPr>
            </w:pPr>
            <w:r>
              <w:rPr>
                <w:rFonts w:ascii="Calibri" w:eastAsia="Calibri" w:hAnsi="Calibri" w:cs="Times New Roman"/>
                <w:sz w:val="20"/>
                <w:szCs w:val="20"/>
              </w:rPr>
              <w:t>Three-dimensional photochemical simulations</w:t>
            </w:r>
          </w:p>
        </w:tc>
        <w:tc>
          <w:tcPr>
            <w:tcW w:w="1788" w:type="dxa"/>
            <w:shd w:val="clear" w:color="auto" w:fill="auto"/>
            <w:vAlign w:val="center"/>
          </w:tcPr>
          <w:p w14:paraId="34EB0150" w14:textId="77777777" w:rsidR="008F3446" w:rsidRPr="00337298" w:rsidRDefault="008F3446" w:rsidP="003C1A27">
            <w:pPr>
              <w:keepNext/>
              <w:tabs>
                <w:tab w:val="center" w:pos="4680"/>
                <w:tab w:val="right" w:pos="9360"/>
              </w:tabs>
              <w:spacing w:before="60" w:after="60"/>
              <w:jc w:val="right"/>
              <w:rPr>
                <w:rFonts w:ascii="Calibri" w:eastAsia="Calibri" w:hAnsi="Calibri" w:cs="Times New Roman"/>
                <w:sz w:val="20"/>
                <w:szCs w:val="20"/>
              </w:rPr>
            </w:pPr>
            <w:r>
              <w:rPr>
                <w:rFonts w:ascii="Calibri" w:eastAsia="Calibri" w:hAnsi="Calibri" w:cs="Times New Roman"/>
                <w:sz w:val="20"/>
                <w:szCs w:val="20"/>
              </w:rPr>
              <w:t>$18,983</w:t>
            </w:r>
          </w:p>
        </w:tc>
      </w:tr>
      <w:tr w:rsidR="008F3446" w:rsidRPr="00337298" w14:paraId="0D8F770F" w14:textId="77777777" w:rsidTr="00825BEF">
        <w:trPr>
          <w:trHeight w:hRule="exact" w:val="374"/>
        </w:trPr>
        <w:tc>
          <w:tcPr>
            <w:tcW w:w="4971" w:type="dxa"/>
            <w:vAlign w:val="center"/>
          </w:tcPr>
          <w:p w14:paraId="6B90B53D" w14:textId="77777777" w:rsidR="008F3446" w:rsidRPr="00337298" w:rsidRDefault="008F3446" w:rsidP="003C1A27">
            <w:pPr>
              <w:keepNext/>
              <w:tabs>
                <w:tab w:val="center" w:pos="4680"/>
                <w:tab w:val="right" w:pos="9360"/>
              </w:tabs>
              <w:spacing w:before="60" w:after="60"/>
              <w:jc w:val="right"/>
              <w:rPr>
                <w:rFonts w:ascii="Calibri" w:eastAsia="Calibri" w:hAnsi="Calibri" w:cs="Times New Roman"/>
                <w:b/>
                <w:sz w:val="20"/>
                <w:szCs w:val="20"/>
              </w:rPr>
            </w:pPr>
            <w:r w:rsidRPr="00337298">
              <w:rPr>
                <w:rFonts w:ascii="Calibri" w:eastAsia="Calibri" w:hAnsi="Calibri" w:cs="Times New Roman"/>
                <w:b/>
                <w:sz w:val="20"/>
                <w:szCs w:val="20"/>
              </w:rPr>
              <w:t>TOTAL</w:t>
            </w:r>
          </w:p>
        </w:tc>
        <w:tc>
          <w:tcPr>
            <w:tcW w:w="1788" w:type="dxa"/>
            <w:vAlign w:val="center"/>
          </w:tcPr>
          <w:p w14:paraId="2985D029" w14:textId="20934713" w:rsidR="008F3446" w:rsidRPr="00337298" w:rsidRDefault="008F3446" w:rsidP="00B801B9">
            <w:pPr>
              <w:keepNext/>
              <w:tabs>
                <w:tab w:val="center" w:pos="4680"/>
                <w:tab w:val="right" w:pos="9360"/>
              </w:tabs>
              <w:spacing w:before="60" w:after="60"/>
              <w:jc w:val="right"/>
              <w:rPr>
                <w:rFonts w:ascii="Calibri" w:eastAsia="Calibri" w:hAnsi="Calibri" w:cs="Times New Roman"/>
                <w:b/>
                <w:sz w:val="20"/>
                <w:szCs w:val="20"/>
              </w:rPr>
            </w:pPr>
            <w:r w:rsidRPr="00337298">
              <w:rPr>
                <w:rFonts w:ascii="Calibri" w:eastAsia="Calibri" w:hAnsi="Calibri" w:cs="Times New Roman"/>
                <w:b/>
                <w:sz w:val="20"/>
                <w:szCs w:val="20"/>
              </w:rPr>
              <w:t>$</w:t>
            </w:r>
            <w:r w:rsidR="00B801B9">
              <w:rPr>
                <w:rFonts w:ascii="Calibri" w:eastAsia="Calibri" w:hAnsi="Calibri" w:cs="Times New Roman"/>
                <w:b/>
                <w:sz w:val="20"/>
                <w:szCs w:val="20"/>
              </w:rPr>
              <w:t>140,000</w:t>
            </w:r>
          </w:p>
        </w:tc>
      </w:tr>
    </w:tbl>
    <w:p w14:paraId="4FBD46F1" w14:textId="77777777" w:rsidR="0015256A" w:rsidRDefault="0015256A" w:rsidP="008F3446"/>
    <w:p w14:paraId="0345B50A" w14:textId="573F7C98" w:rsidR="008F3446" w:rsidRDefault="008F3446" w:rsidP="008F3446">
      <w:r>
        <w:lastRenderedPageBreak/>
        <w:t xml:space="preserve">This project will cost more than the budget shown above.  In addition to the requested $150,000 budget, we will commit additional USU funding, without which the project could not be completed.  This additional funding will </w:t>
      </w:r>
      <w:r w:rsidRPr="000E1BF7">
        <w:t xml:space="preserve">include </w:t>
      </w:r>
      <w:r w:rsidR="000E1BF7" w:rsidRPr="00677DF6">
        <w:t>148</w:t>
      </w:r>
      <w:r w:rsidR="000E1BF7" w:rsidRPr="000E1BF7">
        <w:t xml:space="preserve"> </w:t>
      </w:r>
      <w:r w:rsidRPr="000E1BF7">
        <w:t xml:space="preserve">hours of labor costs </w:t>
      </w:r>
      <w:r w:rsidRPr="001A0B54">
        <w:t xml:space="preserve">each for Trang Tran and Huy Tran, </w:t>
      </w:r>
      <w:r w:rsidR="000E1BF7" w:rsidRPr="00677DF6">
        <w:t>230</w:t>
      </w:r>
      <w:r w:rsidR="000E1BF7" w:rsidRPr="000E1BF7">
        <w:t xml:space="preserve"> </w:t>
      </w:r>
      <w:r w:rsidRPr="000E1BF7">
        <w:t xml:space="preserve">hours of labor for Seth Lyman, </w:t>
      </w:r>
      <w:r w:rsidR="000E1BF7" w:rsidRPr="00F6614D">
        <w:t>2</w:t>
      </w:r>
      <w:r w:rsidR="000E1BF7" w:rsidRPr="00677DF6">
        <w:t>6</w:t>
      </w:r>
      <w:r w:rsidR="000E1BF7" w:rsidRPr="000E1BF7">
        <w:t xml:space="preserve">0 </w:t>
      </w:r>
      <w:r w:rsidRPr="000E1BF7">
        <w:t xml:space="preserve">hours of labor for Trevor O’Neil, and </w:t>
      </w:r>
      <w:r w:rsidR="000E1BF7" w:rsidRPr="00F6614D">
        <w:t>1</w:t>
      </w:r>
      <w:r w:rsidR="000E1BF7" w:rsidRPr="00677DF6">
        <w:t>12</w:t>
      </w:r>
      <w:r w:rsidR="000E1BF7" w:rsidRPr="000E1BF7">
        <w:t xml:space="preserve"> </w:t>
      </w:r>
      <w:r w:rsidRPr="000E1BF7">
        <w:t>hours of labor for a student</w:t>
      </w:r>
      <w:r w:rsidRPr="00473A84">
        <w:t>.</w:t>
      </w:r>
      <w:r>
        <w:t xml:space="preserve">  The total direct cost of this additional labor is $</w:t>
      </w:r>
      <w:r w:rsidR="00473A84">
        <w:t>46,342</w:t>
      </w:r>
      <w:r>
        <w:t>.</w:t>
      </w:r>
    </w:p>
    <w:p w14:paraId="243EE533" w14:textId="77777777" w:rsidR="008F3446" w:rsidRDefault="008F3446" w:rsidP="008F3446">
      <w:r>
        <w:t>USU will also commit existing materials and equipment to this project, including the following:</w:t>
      </w:r>
    </w:p>
    <w:p w14:paraId="1BEBA196" w14:textId="77777777" w:rsidR="008F3446" w:rsidRDefault="008F3446" w:rsidP="008F3446">
      <w:pPr>
        <w:pStyle w:val="ListParagraph"/>
        <w:numPr>
          <w:ilvl w:val="0"/>
          <w:numId w:val="24"/>
        </w:numPr>
      </w:pPr>
      <w:r>
        <w:t xml:space="preserve">The </w:t>
      </w:r>
      <w:proofErr w:type="spellStart"/>
      <w:r>
        <w:t>Horsepool</w:t>
      </w:r>
      <w:proofErr w:type="spellEnd"/>
      <w:r>
        <w:t xml:space="preserve"> and Castle Peak monitoring stations and analytical equipment at these sites ($300,000)</w:t>
      </w:r>
    </w:p>
    <w:p w14:paraId="39A2A99F" w14:textId="77777777" w:rsidR="008F3446" w:rsidRDefault="008F3446" w:rsidP="008F3446">
      <w:pPr>
        <w:pStyle w:val="ListParagraph"/>
        <w:numPr>
          <w:ilvl w:val="0"/>
          <w:numId w:val="24"/>
        </w:numPr>
      </w:pPr>
      <w:r>
        <w:t>14 existing portable sampling stations ($8,400)</w:t>
      </w:r>
    </w:p>
    <w:p w14:paraId="30520018" w14:textId="77777777" w:rsidR="008F3446" w:rsidRDefault="008F3446" w:rsidP="008F3446">
      <w:pPr>
        <w:pStyle w:val="ListParagraph"/>
        <w:numPr>
          <w:ilvl w:val="0"/>
          <w:numId w:val="24"/>
        </w:numPr>
      </w:pPr>
      <w:r>
        <w:t xml:space="preserve">Laboratory instrumentation to process and analyze canister samples, including a gas chromatography system, a sample </w:t>
      </w:r>
      <w:proofErr w:type="spellStart"/>
      <w:r>
        <w:t>preconcentrator</w:t>
      </w:r>
      <w:proofErr w:type="spellEnd"/>
      <w:r>
        <w:t>, and equipment for cleaning canisters and preparing them for analysis ($200,000)</w:t>
      </w:r>
    </w:p>
    <w:p w14:paraId="54DA6F8F" w14:textId="1EFCF466" w:rsidR="008F3446" w:rsidRDefault="008F3446" w:rsidP="008F3446">
      <w:pPr>
        <w:pStyle w:val="ListParagraph"/>
        <w:numPr>
          <w:ilvl w:val="0"/>
          <w:numId w:val="24"/>
        </w:numPr>
      </w:pPr>
      <w:r>
        <w:t>A liquid chromatography system for analyzing DNPH cartridge samples ($50,000)</w:t>
      </w:r>
    </w:p>
    <w:p w14:paraId="6938B25C" w14:textId="4C5E9BF8" w:rsidR="002A7217" w:rsidRDefault="002A7217" w:rsidP="002A7217">
      <w:pPr>
        <w:pStyle w:val="ListParagraph"/>
        <w:numPr>
          <w:ilvl w:val="0"/>
          <w:numId w:val="24"/>
        </w:numPr>
      </w:pPr>
      <w:r>
        <w:t xml:space="preserve">Four computational nodes (96 cores) and 55TB </w:t>
      </w:r>
      <w:r w:rsidRPr="002A7217">
        <w:t>Group Level Storage</w:t>
      </w:r>
      <w:r>
        <w:t xml:space="preserve">s on University of Utah CHPC </w:t>
      </w:r>
    </w:p>
    <w:p w14:paraId="54F09DEB" w14:textId="38E713D9" w:rsidR="00002D1F" w:rsidRPr="00DB03CA" w:rsidRDefault="00002D1F" w:rsidP="00002D1F">
      <w:pPr>
        <w:rPr>
          <w:b/>
          <w:sz w:val="26"/>
        </w:rPr>
      </w:pPr>
      <w:r w:rsidRPr="00DB03CA">
        <w:rPr>
          <w:b/>
          <w:sz w:val="26"/>
        </w:rPr>
        <w:t>Personnel Roles and Responsibilities</w:t>
      </w:r>
    </w:p>
    <w:p w14:paraId="76C99A43" w14:textId="739E337A" w:rsidR="004A6F65" w:rsidRPr="00DB03CA" w:rsidRDefault="004A6F65" w:rsidP="00DB03CA">
      <w:pPr>
        <w:pStyle w:val="ListParagraph"/>
        <w:numPr>
          <w:ilvl w:val="0"/>
          <w:numId w:val="17"/>
        </w:numPr>
        <w:rPr>
          <w:b/>
        </w:rPr>
      </w:pPr>
      <w:r w:rsidRPr="00DB03CA">
        <w:rPr>
          <w:b/>
        </w:rPr>
        <w:t>Bingham Research Center – U</w:t>
      </w:r>
      <w:r w:rsidR="000B1C80">
        <w:rPr>
          <w:b/>
        </w:rPr>
        <w:t xml:space="preserve">tah </w:t>
      </w:r>
      <w:r w:rsidRPr="00DB03CA">
        <w:rPr>
          <w:b/>
        </w:rPr>
        <w:t>S</w:t>
      </w:r>
      <w:r w:rsidR="000B1C80">
        <w:rPr>
          <w:b/>
        </w:rPr>
        <w:t xml:space="preserve">tate </w:t>
      </w:r>
      <w:r w:rsidRPr="00DB03CA">
        <w:rPr>
          <w:b/>
        </w:rPr>
        <w:t>U</w:t>
      </w:r>
      <w:r w:rsidR="000B1C80">
        <w:rPr>
          <w:b/>
        </w:rPr>
        <w:t>niversity</w:t>
      </w:r>
      <w:r w:rsidRPr="00DB03CA">
        <w:rPr>
          <w:b/>
        </w:rPr>
        <w:t xml:space="preserve"> personnel</w:t>
      </w:r>
    </w:p>
    <w:p w14:paraId="16557640" w14:textId="2D42AF37" w:rsidR="00880037" w:rsidRPr="00DB03CA" w:rsidRDefault="00880037" w:rsidP="00002D1F">
      <w:r w:rsidRPr="00DB03CA">
        <w:t>Trang Tran, Senior Research Scientist, PI, will conduct project oversight, run WR</w:t>
      </w:r>
      <w:r w:rsidR="00F3105D" w:rsidRPr="00DB03CA">
        <w:t>F-</w:t>
      </w:r>
      <w:proofErr w:type="spellStart"/>
      <w:r w:rsidR="00F3105D" w:rsidRPr="00DB03CA">
        <w:t>CAMx</w:t>
      </w:r>
      <w:proofErr w:type="spellEnd"/>
      <w:r w:rsidR="00F3105D" w:rsidRPr="00DB03CA">
        <w:t xml:space="preserve"> sensitivity tests</w:t>
      </w:r>
      <w:r w:rsidR="001A1FC9" w:rsidRPr="00DB03CA">
        <w:t xml:space="preserve">, </w:t>
      </w:r>
      <w:proofErr w:type="gramStart"/>
      <w:r w:rsidR="00F3105D" w:rsidRPr="00DB03CA">
        <w:t>conduct</w:t>
      </w:r>
      <w:proofErr w:type="gramEnd"/>
      <w:r w:rsidR="001A1FC9" w:rsidRPr="00DB03CA">
        <w:t xml:space="preserve"> data analysis and writing report.</w:t>
      </w:r>
      <w:r w:rsidR="00E17657" w:rsidRPr="00DB03CA">
        <w:t xml:space="preserve"> Trang has </w:t>
      </w:r>
      <w:r w:rsidR="008F3446">
        <w:t>10</w:t>
      </w:r>
      <w:r w:rsidR="00E17657" w:rsidRPr="00DB03CA">
        <w:t xml:space="preserve"> years of experiences with </w:t>
      </w:r>
      <w:r w:rsidR="004A6F65" w:rsidRPr="00DB03CA">
        <w:t xml:space="preserve">emission models, </w:t>
      </w:r>
      <w:r w:rsidR="00E17657" w:rsidRPr="00DB03CA">
        <w:t>doing meteorological and photochemical simulations, and data analysis.</w:t>
      </w:r>
    </w:p>
    <w:p w14:paraId="67A62102" w14:textId="64DA397B" w:rsidR="001A1FC9" w:rsidRPr="00DB03CA" w:rsidRDefault="001A1FC9" w:rsidP="001A1FC9">
      <w:r w:rsidRPr="00DB03CA">
        <w:t>Huy Tran, Senior Research Scientist, co-PI, will run receptor model (e.g., PMF), conduct data analysis, prepare emission input files using SMOKE model and writing report.</w:t>
      </w:r>
      <w:r w:rsidR="004A6F65" w:rsidRPr="00DB03CA">
        <w:t xml:space="preserve"> Huy has 1</w:t>
      </w:r>
      <w:r w:rsidR="008F3446">
        <w:t>3</w:t>
      </w:r>
      <w:r w:rsidR="004A6F65" w:rsidRPr="00DB03CA">
        <w:t xml:space="preserve"> years of experiences with receptor and dispersion models, emission models, doing meteorological and photochemical simulations and data analysis.</w:t>
      </w:r>
    </w:p>
    <w:p w14:paraId="6B4D268F" w14:textId="21D25DAA" w:rsidR="001A1FC9" w:rsidRPr="00DB03CA" w:rsidRDefault="001A1FC9" w:rsidP="001A1FC9">
      <w:r w:rsidRPr="00DB03CA">
        <w:t xml:space="preserve">Seth Lyman, Associate Professor, will </w:t>
      </w:r>
      <w:r w:rsidR="00096406" w:rsidRPr="00DB03CA">
        <w:t xml:space="preserve">oversee and participate in </w:t>
      </w:r>
      <w:r w:rsidRPr="00DB03CA">
        <w:t>collect</w:t>
      </w:r>
      <w:r w:rsidR="00096406" w:rsidRPr="00DB03CA">
        <w:t>ion</w:t>
      </w:r>
      <w:r w:rsidRPr="00DB03CA">
        <w:t xml:space="preserve"> and analy</w:t>
      </w:r>
      <w:r w:rsidR="00096406" w:rsidRPr="00DB03CA">
        <w:t>sis of</w:t>
      </w:r>
      <w:r w:rsidRPr="00DB03CA">
        <w:t xml:space="preserve"> </w:t>
      </w:r>
      <w:r w:rsidR="00096406" w:rsidRPr="00DB03CA">
        <w:t>samples</w:t>
      </w:r>
      <w:r w:rsidRPr="00DB03CA">
        <w:t xml:space="preserve"> </w:t>
      </w:r>
      <w:r w:rsidR="0094307C" w:rsidRPr="00DB03CA">
        <w:t>and</w:t>
      </w:r>
      <w:r w:rsidR="00096406" w:rsidRPr="00DB03CA">
        <w:t xml:space="preserve"> contribute to </w:t>
      </w:r>
      <w:r w:rsidRPr="00DB03CA">
        <w:t xml:space="preserve">data analysis and </w:t>
      </w:r>
      <w:r w:rsidR="00096406" w:rsidRPr="00DB03CA">
        <w:t>report writing</w:t>
      </w:r>
      <w:r w:rsidRPr="00DB03CA">
        <w:t>.</w:t>
      </w:r>
      <w:r w:rsidR="002D566A" w:rsidRPr="00DB03CA">
        <w:t xml:space="preserve">  Seth has 14 years of experience with atmospheric measurements, including ambient air monitoring, emissions measurement, instrument development and construction, and data analysis.</w:t>
      </w:r>
    </w:p>
    <w:p w14:paraId="09CD3E2E" w14:textId="77777777" w:rsidR="00096406" w:rsidRPr="00DB03CA" w:rsidRDefault="00096406" w:rsidP="001A1FC9">
      <w:r w:rsidRPr="00DB03CA">
        <w:t xml:space="preserve">Trevor O’Neil, Research Technician, will build sampling </w:t>
      </w:r>
      <w:r w:rsidR="0094307C" w:rsidRPr="00DB03CA">
        <w:t>stations and participate in collection and analysis of samples.</w:t>
      </w:r>
      <w:r w:rsidR="002D566A" w:rsidRPr="00DB03CA">
        <w:t xml:space="preserve">  Trevor has worked on projects that involve field collection and laboratory analysis of canister and DNPH cartridge samples for four years and is our lead HPLC analyst.</w:t>
      </w:r>
    </w:p>
    <w:p w14:paraId="21D71280" w14:textId="1C6700EF" w:rsidR="00C8114B" w:rsidRDefault="00C8114B" w:rsidP="001A1FC9">
      <w:r w:rsidRPr="00DB03CA">
        <w:t>Makenzie Holmes, Student Research Assistant and Anadarko Student Fellow, will build sampling stations and participate in collection and analysis of samples.</w:t>
      </w:r>
      <w:r w:rsidR="002D566A" w:rsidRPr="00DB03CA">
        <w:t xml:space="preserve">  Makenzie has been part of our team since April 2018.  She has taken a lead role in building our existing sampling stations, and she is our GC-FID/MS analyst, under Seth Lyman’s direction.</w:t>
      </w:r>
    </w:p>
    <w:p w14:paraId="369B875F" w14:textId="0E20525C" w:rsidR="004A6F65" w:rsidRDefault="00AB6260" w:rsidP="00AB6260">
      <w:pPr>
        <w:pStyle w:val="ListParagraph"/>
        <w:numPr>
          <w:ilvl w:val="0"/>
          <w:numId w:val="17"/>
        </w:numPr>
        <w:rPr>
          <w:b/>
        </w:rPr>
      </w:pPr>
      <w:r w:rsidRPr="00AB6260">
        <w:rPr>
          <w:b/>
        </w:rPr>
        <w:t>Eastern Research Group</w:t>
      </w:r>
      <w:r w:rsidR="000B1C80">
        <w:rPr>
          <w:b/>
        </w:rPr>
        <w:t>, Inc.</w:t>
      </w:r>
      <w:r w:rsidR="004A6F65" w:rsidRPr="00DB03CA">
        <w:rPr>
          <w:b/>
        </w:rPr>
        <w:t xml:space="preserve"> personnel</w:t>
      </w:r>
    </w:p>
    <w:p w14:paraId="418F049B" w14:textId="77777777" w:rsidR="00280481" w:rsidRDefault="00280481" w:rsidP="00280481">
      <w:r>
        <w:t xml:space="preserve">Tracey Footer, Subcontract Manager and Deployment, is based near Salt Lake City, UT. Tracey is an environmental research scientist, with over 11 years of combined experience performing reference method sample analysis, supporting the development of performance-based measurement methods, </w:t>
      </w:r>
      <w:r>
        <w:lastRenderedPageBreak/>
        <w:t>and researching and evaluating cutting-edge technology. Tracey’s experience includes authoring technical reports and guidance documents, organizing and conducting field sampling, and performing industrial facility inspections using optical gas imaging. She is currently supporting the characterization of oil and natural gas stationary sources as the project manager and technical lead for EPA’s Office of Research and Development (ORD) field measurement campaign project using next generation measurement approaches at multiple spatial scales concurrently.</w:t>
      </w:r>
    </w:p>
    <w:p w14:paraId="26B08DD8" w14:textId="77777777" w:rsidR="00280481" w:rsidRDefault="00280481" w:rsidP="00280481">
      <w:r>
        <w:t xml:space="preserve">Danny Greene, Technical Lead on Evaluation of Sensors. Danny Greene is a Senior Chemical Engineer in ERG’s Morrisville, NC office. He has over 25 years of experience in methods development and regulatory support for EPA. He is an expert in characterizing various industries, including pulp and paper mills and animal feeding operations (AFOs). Danny is currently leading EPA’s efforts to research and develop performance standards for low-cost sensors. </w:t>
      </w:r>
    </w:p>
    <w:p w14:paraId="5E3E61A5" w14:textId="2C11BF4F" w:rsidR="00280481" w:rsidRDefault="00280481" w:rsidP="00280481">
      <w:proofErr w:type="spellStart"/>
      <w:r>
        <w:t>Regi</w:t>
      </w:r>
      <w:proofErr w:type="spellEnd"/>
      <w:r>
        <w:t xml:space="preserve"> </w:t>
      </w:r>
      <w:proofErr w:type="spellStart"/>
      <w:r>
        <w:t>Oommen</w:t>
      </w:r>
      <w:proofErr w:type="spellEnd"/>
      <w:r>
        <w:t xml:space="preserve">, Data Analysis. </w:t>
      </w:r>
      <w:proofErr w:type="spellStart"/>
      <w:r>
        <w:t>Regi</w:t>
      </w:r>
      <w:proofErr w:type="spellEnd"/>
      <w:r>
        <w:t xml:space="preserve"> </w:t>
      </w:r>
      <w:proofErr w:type="spellStart"/>
      <w:r>
        <w:t>Oommen</w:t>
      </w:r>
      <w:proofErr w:type="spellEnd"/>
      <w:r>
        <w:t xml:space="preserve"> is a Senior Scientist in ERG’s Morrisville, NC office. He has over 22 </w:t>
      </w:r>
      <w:proofErr w:type="spellStart"/>
      <w:r>
        <w:t>years experience</w:t>
      </w:r>
      <w:proofErr w:type="spellEnd"/>
      <w:r>
        <w:t xml:space="preserve"> in developing emissions inventories and characterizing ambient air monitoring concentrations for EPA, state, and local air agencies. </w:t>
      </w:r>
      <w:proofErr w:type="spellStart"/>
      <w:r>
        <w:t>Regi</w:t>
      </w:r>
      <w:proofErr w:type="spellEnd"/>
      <w:r>
        <w:t xml:space="preserve"> is the architect of EPA’s Oil and Natural Gas Emissions Estimation Tool, developing the 2011, 2014, and 2016 national emissions inventories. </w:t>
      </w:r>
    </w:p>
    <w:p w14:paraId="5B2A2D4C" w14:textId="1CF438E2" w:rsidR="004A6F65" w:rsidRPr="00DB03CA" w:rsidRDefault="00280481" w:rsidP="00280481">
      <w:r>
        <w:t>Christopher Kopp, Laboratory Testing Chamber. Christopher Kopp is a project manager and chemist with 12 years of experience in environmental sampling and analysis. He has managed multiple projects in the areas of method development and stationary emissions monitoring and has served as an analyst and technician on many laboratory projects. Christopher has experience with gas chromatography (GC), mass spectrometry (MS), flame ionization detectors (FIDs), high-pressure liquid chromatography, and ion chromatography (IC) instrumental operation; sample analysis; and the corresponding data review. He will conduct the sensor testing using ERG’s exposure chamber.</w:t>
      </w:r>
    </w:p>
    <w:sectPr w:rsidR="004A6F65" w:rsidRPr="00DB03CA" w:rsidSect="00C3682E">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564AD" w14:textId="77777777" w:rsidR="00674FB4" w:rsidRDefault="00674FB4" w:rsidP="003C1A27">
      <w:pPr>
        <w:spacing w:after="0" w:line="240" w:lineRule="auto"/>
      </w:pPr>
      <w:r>
        <w:separator/>
      </w:r>
    </w:p>
  </w:endnote>
  <w:endnote w:type="continuationSeparator" w:id="0">
    <w:p w14:paraId="1FB89715" w14:textId="77777777" w:rsidR="00674FB4" w:rsidRDefault="00674FB4" w:rsidP="003C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AF23" w14:textId="08C294FC" w:rsidR="000B1C80" w:rsidRDefault="000B1C80">
    <w:pPr>
      <w:pStyle w:val="Footer"/>
      <w:jc w:val="right"/>
    </w:pPr>
  </w:p>
  <w:p w14:paraId="5AFB0900" w14:textId="77777777" w:rsidR="003C1A27" w:rsidRDefault="003C1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977622"/>
      <w:docPartObj>
        <w:docPartGallery w:val="Page Numbers (Bottom of Page)"/>
        <w:docPartUnique/>
      </w:docPartObj>
    </w:sdtPr>
    <w:sdtEndPr>
      <w:rPr>
        <w:noProof/>
      </w:rPr>
    </w:sdtEndPr>
    <w:sdtContent>
      <w:p w14:paraId="683308BF" w14:textId="509B4836" w:rsidR="000B1C80" w:rsidRDefault="000B1C80">
        <w:pPr>
          <w:pStyle w:val="Footer"/>
          <w:jc w:val="right"/>
        </w:pPr>
        <w:r>
          <w:fldChar w:fldCharType="begin"/>
        </w:r>
        <w:r>
          <w:instrText xml:space="preserve"> PAGE   \* MERGEFORMAT </w:instrText>
        </w:r>
        <w:r>
          <w:fldChar w:fldCharType="separate"/>
        </w:r>
        <w:r w:rsidR="007E5AC0">
          <w:rPr>
            <w:noProof/>
          </w:rPr>
          <w:t>15</w:t>
        </w:r>
        <w:r>
          <w:rPr>
            <w:noProof/>
          </w:rPr>
          <w:fldChar w:fldCharType="end"/>
        </w:r>
      </w:p>
    </w:sdtContent>
  </w:sdt>
  <w:p w14:paraId="1243814A" w14:textId="77777777" w:rsidR="000B1C80" w:rsidRDefault="000B1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7E01C" w14:textId="77777777" w:rsidR="00674FB4" w:rsidRDefault="00674FB4" w:rsidP="003C1A27">
      <w:pPr>
        <w:spacing w:after="0" w:line="240" w:lineRule="auto"/>
      </w:pPr>
      <w:r>
        <w:separator/>
      </w:r>
    </w:p>
  </w:footnote>
  <w:footnote w:type="continuationSeparator" w:id="0">
    <w:p w14:paraId="4ED9B4A9" w14:textId="77777777" w:rsidR="00674FB4" w:rsidRDefault="00674FB4" w:rsidP="003C1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ACB"/>
    <w:multiLevelType w:val="hybridMultilevel"/>
    <w:tmpl w:val="24DA2D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0945"/>
    <w:multiLevelType w:val="hybridMultilevel"/>
    <w:tmpl w:val="9C701868"/>
    <w:lvl w:ilvl="0" w:tplc="8B5AA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833DD"/>
    <w:multiLevelType w:val="hybridMultilevel"/>
    <w:tmpl w:val="EA2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A0125"/>
    <w:multiLevelType w:val="hybridMultilevel"/>
    <w:tmpl w:val="0ECCEEB0"/>
    <w:lvl w:ilvl="0" w:tplc="676AEACA">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A5A5A26"/>
    <w:multiLevelType w:val="hybridMultilevel"/>
    <w:tmpl w:val="E084C964"/>
    <w:lvl w:ilvl="0" w:tplc="8286F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A30BE"/>
    <w:multiLevelType w:val="hybridMultilevel"/>
    <w:tmpl w:val="3946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B6192"/>
    <w:multiLevelType w:val="hybridMultilevel"/>
    <w:tmpl w:val="F13E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57E4C"/>
    <w:multiLevelType w:val="hybridMultilevel"/>
    <w:tmpl w:val="D90C2B24"/>
    <w:lvl w:ilvl="0" w:tplc="676AEAC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95508"/>
    <w:multiLevelType w:val="hybridMultilevel"/>
    <w:tmpl w:val="2CD2F1F0"/>
    <w:lvl w:ilvl="0" w:tplc="DC78947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6678B"/>
    <w:multiLevelType w:val="hybridMultilevel"/>
    <w:tmpl w:val="1F00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455E0"/>
    <w:multiLevelType w:val="hybridMultilevel"/>
    <w:tmpl w:val="94E6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34E52"/>
    <w:multiLevelType w:val="hybridMultilevel"/>
    <w:tmpl w:val="D502510E"/>
    <w:lvl w:ilvl="0" w:tplc="676AEAC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C07F3"/>
    <w:multiLevelType w:val="hybridMultilevel"/>
    <w:tmpl w:val="2A58E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40841"/>
    <w:multiLevelType w:val="hybridMultilevel"/>
    <w:tmpl w:val="CCE0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3535A"/>
    <w:multiLevelType w:val="hybridMultilevel"/>
    <w:tmpl w:val="E346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D6A11"/>
    <w:multiLevelType w:val="hybridMultilevel"/>
    <w:tmpl w:val="B9C8BEB6"/>
    <w:lvl w:ilvl="0" w:tplc="04090001">
      <w:start w:val="1"/>
      <w:numFmt w:val="bullet"/>
      <w:lvlText w:val=""/>
      <w:lvlJc w:val="left"/>
      <w:pPr>
        <w:ind w:left="720" w:hanging="360"/>
      </w:pPr>
      <w:rPr>
        <w:rFonts w:ascii="Symbol" w:hAnsi="Symbol" w:hint="default"/>
      </w:rPr>
    </w:lvl>
    <w:lvl w:ilvl="1" w:tplc="676AEACA">
      <w:start w:val="1"/>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505DD"/>
    <w:multiLevelType w:val="hybridMultilevel"/>
    <w:tmpl w:val="0268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077AE"/>
    <w:multiLevelType w:val="hybridMultilevel"/>
    <w:tmpl w:val="33083F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6E1528"/>
    <w:multiLevelType w:val="hybridMultilevel"/>
    <w:tmpl w:val="9280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4505C"/>
    <w:multiLevelType w:val="hybridMultilevel"/>
    <w:tmpl w:val="3424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141DC"/>
    <w:multiLevelType w:val="hybridMultilevel"/>
    <w:tmpl w:val="95B48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86437"/>
    <w:multiLevelType w:val="hybridMultilevel"/>
    <w:tmpl w:val="DC72BB2E"/>
    <w:lvl w:ilvl="0" w:tplc="676AEAC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F5839"/>
    <w:multiLevelType w:val="hybridMultilevel"/>
    <w:tmpl w:val="80FCD1F2"/>
    <w:lvl w:ilvl="0" w:tplc="04090001">
      <w:start w:val="1"/>
      <w:numFmt w:val="bullet"/>
      <w:lvlText w:val=""/>
      <w:lvlJc w:val="left"/>
      <w:pPr>
        <w:ind w:left="720" w:hanging="360"/>
      </w:pPr>
      <w:rPr>
        <w:rFonts w:ascii="Symbol" w:hAnsi="Symbol" w:hint="default"/>
      </w:rPr>
    </w:lvl>
    <w:lvl w:ilvl="1" w:tplc="676AEACA">
      <w:start w:val="1"/>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2369E"/>
    <w:multiLevelType w:val="hybridMultilevel"/>
    <w:tmpl w:val="1860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A1B0C"/>
    <w:multiLevelType w:val="hybridMultilevel"/>
    <w:tmpl w:val="BB90F51A"/>
    <w:lvl w:ilvl="0" w:tplc="76B452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E0F71"/>
    <w:multiLevelType w:val="hybridMultilevel"/>
    <w:tmpl w:val="423416AC"/>
    <w:lvl w:ilvl="0" w:tplc="04090001">
      <w:start w:val="1"/>
      <w:numFmt w:val="bullet"/>
      <w:lvlText w:val=""/>
      <w:lvlJc w:val="left"/>
      <w:pPr>
        <w:ind w:left="720" w:hanging="360"/>
      </w:pPr>
      <w:rPr>
        <w:rFonts w:ascii="Symbol" w:hAnsi="Symbol" w:hint="default"/>
      </w:rPr>
    </w:lvl>
    <w:lvl w:ilvl="1" w:tplc="676AEACA">
      <w:start w:val="1"/>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212F6"/>
    <w:multiLevelType w:val="hybridMultilevel"/>
    <w:tmpl w:val="567C6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A3765"/>
    <w:multiLevelType w:val="hybridMultilevel"/>
    <w:tmpl w:val="D11E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7"/>
  </w:num>
  <w:num w:numId="4">
    <w:abstractNumId w:val="14"/>
  </w:num>
  <w:num w:numId="5">
    <w:abstractNumId w:val="9"/>
  </w:num>
  <w:num w:numId="6">
    <w:abstractNumId w:val="23"/>
  </w:num>
  <w:num w:numId="7">
    <w:abstractNumId w:val="13"/>
  </w:num>
  <w:num w:numId="8">
    <w:abstractNumId w:val="27"/>
  </w:num>
  <w:num w:numId="9">
    <w:abstractNumId w:val="18"/>
  </w:num>
  <w:num w:numId="10">
    <w:abstractNumId w:val="5"/>
  </w:num>
  <w:num w:numId="11">
    <w:abstractNumId w:val="2"/>
  </w:num>
  <w:num w:numId="12">
    <w:abstractNumId w:val="11"/>
  </w:num>
  <w:num w:numId="13">
    <w:abstractNumId w:val="26"/>
  </w:num>
  <w:num w:numId="14">
    <w:abstractNumId w:val="20"/>
  </w:num>
  <w:num w:numId="15">
    <w:abstractNumId w:val="24"/>
  </w:num>
  <w:num w:numId="16">
    <w:abstractNumId w:val="0"/>
  </w:num>
  <w:num w:numId="17">
    <w:abstractNumId w:val="10"/>
  </w:num>
  <w:num w:numId="18">
    <w:abstractNumId w:val="4"/>
  </w:num>
  <w:num w:numId="19">
    <w:abstractNumId w:val="7"/>
  </w:num>
  <w:num w:numId="20">
    <w:abstractNumId w:val="8"/>
  </w:num>
  <w:num w:numId="21">
    <w:abstractNumId w:val="21"/>
  </w:num>
  <w:num w:numId="22">
    <w:abstractNumId w:val="3"/>
  </w:num>
  <w:num w:numId="23">
    <w:abstractNumId w:val="12"/>
  </w:num>
  <w:num w:numId="24">
    <w:abstractNumId w:val="6"/>
  </w:num>
  <w:num w:numId="25">
    <w:abstractNumId w:val="25"/>
  </w:num>
  <w:num w:numId="26">
    <w:abstractNumId w:val="15"/>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zMjE2MDMzNjEzMTVV0lEKTi0uzszPAykwqgUAEOEtUCwAAAA="/>
  </w:docVars>
  <w:rsids>
    <w:rsidRoot w:val="00002D1F"/>
    <w:rsid w:val="0000031E"/>
    <w:rsid w:val="00001859"/>
    <w:rsid w:val="00002D1F"/>
    <w:rsid w:val="000405E3"/>
    <w:rsid w:val="0004080A"/>
    <w:rsid w:val="00043C9F"/>
    <w:rsid w:val="00045E9F"/>
    <w:rsid w:val="00053CA8"/>
    <w:rsid w:val="00060F5E"/>
    <w:rsid w:val="000705E3"/>
    <w:rsid w:val="000711A6"/>
    <w:rsid w:val="00071A3E"/>
    <w:rsid w:val="0007536A"/>
    <w:rsid w:val="0008016E"/>
    <w:rsid w:val="000819B6"/>
    <w:rsid w:val="00083C23"/>
    <w:rsid w:val="00096406"/>
    <w:rsid w:val="000B1C80"/>
    <w:rsid w:val="000C3E8B"/>
    <w:rsid w:val="000D277B"/>
    <w:rsid w:val="000E1BF7"/>
    <w:rsid w:val="000E4BFE"/>
    <w:rsid w:val="000F024A"/>
    <w:rsid w:val="000F185C"/>
    <w:rsid w:val="00113C88"/>
    <w:rsid w:val="00113F91"/>
    <w:rsid w:val="00116774"/>
    <w:rsid w:val="00120962"/>
    <w:rsid w:val="00120DD0"/>
    <w:rsid w:val="001346BF"/>
    <w:rsid w:val="00135868"/>
    <w:rsid w:val="001476F9"/>
    <w:rsid w:val="0015256A"/>
    <w:rsid w:val="00156BA6"/>
    <w:rsid w:val="00164FE5"/>
    <w:rsid w:val="001726F2"/>
    <w:rsid w:val="00176775"/>
    <w:rsid w:val="00182236"/>
    <w:rsid w:val="00182D24"/>
    <w:rsid w:val="00191912"/>
    <w:rsid w:val="00193DF2"/>
    <w:rsid w:val="001949B4"/>
    <w:rsid w:val="001A0640"/>
    <w:rsid w:val="001A0B54"/>
    <w:rsid w:val="001A1FC9"/>
    <w:rsid w:val="001B2358"/>
    <w:rsid w:val="001B4130"/>
    <w:rsid w:val="001B5F12"/>
    <w:rsid w:val="001C07A4"/>
    <w:rsid w:val="001C7C00"/>
    <w:rsid w:val="001E434B"/>
    <w:rsid w:val="001F1B4C"/>
    <w:rsid w:val="001F2339"/>
    <w:rsid w:val="002024DC"/>
    <w:rsid w:val="0020279C"/>
    <w:rsid w:val="0020486F"/>
    <w:rsid w:val="0021308D"/>
    <w:rsid w:val="00214138"/>
    <w:rsid w:val="002178D5"/>
    <w:rsid w:val="00220341"/>
    <w:rsid w:val="002235E8"/>
    <w:rsid w:val="00224E4A"/>
    <w:rsid w:val="002323FC"/>
    <w:rsid w:val="002548BF"/>
    <w:rsid w:val="002673ED"/>
    <w:rsid w:val="00270D74"/>
    <w:rsid w:val="002729F4"/>
    <w:rsid w:val="00280481"/>
    <w:rsid w:val="0028117F"/>
    <w:rsid w:val="00282BCE"/>
    <w:rsid w:val="002834F1"/>
    <w:rsid w:val="00294BF2"/>
    <w:rsid w:val="00296094"/>
    <w:rsid w:val="002A42DE"/>
    <w:rsid w:val="002A7217"/>
    <w:rsid w:val="002A7DDC"/>
    <w:rsid w:val="002B6F87"/>
    <w:rsid w:val="002C193C"/>
    <w:rsid w:val="002C3E0B"/>
    <w:rsid w:val="002D48FC"/>
    <w:rsid w:val="002D566A"/>
    <w:rsid w:val="002D6146"/>
    <w:rsid w:val="002E2BC3"/>
    <w:rsid w:val="002F3E35"/>
    <w:rsid w:val="002F5729"/>
    <w:rsid w:val="00301F2F"/>
    <w:rsid w:val="00307107"/>
    <w:rsid w:val="0031771E"/>
    <w:rsid w:val="00322E5D"/>
    <w:rsid w:val="00323D7C"/>
    <w:rsid w:val="0032605C"/>
    <w:rsid w:val="00330E02"/>
    <w:rsid w:val="003329FD"/>
    <w:rsid w:val="0034101C"/>
    <w:rsid w:val="00341B1D"/>
    <w:rsid w:val="00343A7C"/>
    <w:rsid w:val="00344283"/>
    <w:rsid w:val="00351DB5"/>
    <w:rsid w:val="0036501F"/>
    <w:rsid w:val="00372D9C"/>
    <w:rsid w:val="003823F7"/>
    <w:rsid w:val="00396679"/>
    <w:rsid w:val="003A4FA2"/>
    <w:rsid w:val="003B029C"/>
    <w:rsid w:val="003B6556"/>
    <w:rsid w:val="003C1A27"/>
    <w:rsid w:val="003C5930"/>
    <w:rsid w:val="003C5E88"/>
    <w:rsid w:val="003D5607"/>
    <w:rsid w:val="003E3865"/>
    <w:rsid w:val="003F042B"/>
    <w:rsid w:val="003F061F"/>
    <w:rsid w:val="003F6FD1"/>
    <w:rsid w:val="00404102"/>
    <w:rsid w:val="00413EB1"/>
    <w:rsid w:val="00424226"/>
    <w:rsid w:val="004403B5"/>
    <w:rsid w:val="00446FEC"/>
    <w:rsid w:val="0045092F"/>
    <w:rsid w:val="00450BCA"/>
    <w:rsid w:val="00464FD0"/>
    <w:rsid w:val="00466834"/>
    <w:rsid w:val="00471257"/>
    <w:rsid w:val="00473A84"/>
    <w:rsid w:val="004750C6"/>
    <w:rsid w:val="00480DBB"/>
    <w:rsid w:val="004856A9"/>
    <w:rsid w:val="004A24E5"/>
    <w:rsid w:val="004A2909"/>
    <w:rsid w:val="004A5F3B"/>
    <w:rsid w:val="004A6F65"/>
    <w:rsid w:val="004B13E0"/>
    <w:rsid w:val="004B2DFB"/>
    <w:rsid w:val="004D09D2"/>
    <w:rsid w:val="004D3786"/>
    <w:rsid w:val="004D464F"/>
    <w:rsid w:val="004D5021"/>
    <w:rsid w:val="004E53D0"/>
    <w:rsid w:val="004E5859"/>
    <w:rsid w:val="004F5DF4"/>
    <w:rsid w:val="005104AB"/>
    <w:rsid w:val="0051296B"/>
    <w:rsid w:val="00514C3E"/>
    <w:rsid w:val="00514C74"/>
    <w:rsid w:val="00521614"/>
    <w:rsid w:val="0052612A"/>
    <w:rsid w:val="005310D3"/>
    <w:rsid w:val="00531514"/>
    <w:rsid w:val="00531B76"/>
    <w:rsid w:val="005516C6"/>
    <w:rsid w:val="0056402E"/>
    <w:rsid w:val="005712C0"/>
    <w:rsid w:val="00572AD5"/>
    <w:rsid w:val="00575999"/>
    <w:rsid w:val="00591244"/>
    <w:rsid w:val="00595DD0"/>
    <w:rsid w:val="005A1E99"/>
    <w:rsid w:val="005A2130"/>
    <w:rsid w:val="005B09D2"/>
    <w:rsid w:val="005B0C41"/>
    <w:rsid w:val="005B22FE"/>
    <w:rsid w:val="005B2E0A"/>
    <w:rsid w:val="005B7D29"/>
    <w:rsid w:val="005D042D"/>
    <w:rsid w:val="005D17E3"/>
    <w:rsid w:val="005E061D"/>
    <w:rsid w:val="005E2CBB"/>
    <w:rsid w:val="005F6DC9"/>
    <w:rsid w:val="006274DE"/>
    <w:rsid w:val="00630FCE"/>
    <w:rsid w:val="00631969"/>
    <w:rsid w:val="00636761"/>
    <w:rsid w:val="00637E78"/>
    <w:rsid w:val="00643D9A"/>
    <w:rsid w:val="00646BB6"/>
    <w:rsid w:val="00660A83"/>
    <w:rsid w:val="0066187B"/>
    <w:rsid w:val="00664F52"/>
    <w:rsid w:val="00665AE1"/>
    <w:rsid w:val="006712C7"/>
    <w:rsid w:val="00674FB4"/>
    <w:rsid w:val="00677B59"/>
    <w:rsid w:val="00677DF6"/>
    <w:rsid w:val="006818DA"/>
    <w:rsid w:val="006830D7"/>
    <w:rsid w:val="00685E83"/>
    <w:rsid w:val="00686222"/>
    <w:rsid w:val="006A780F"/>
    <w:rsid w:val="006B633C"/>
    <w:rsid w:val="006B767A"/>
    <w:rsid w:val="006C71F3"/>
    <w:rsid w:val="006D3277"/>
    <w:rsid w:val="006D5168"/>
    <w:rsid w:val="006E54E0"/>
    <w:rsid w:val="006E6D43"/>
    <w:rsid w:val="0070177B"/>
    <w:rsid w:val="00705674"/>
    <w:rsid w:val="00717FD3"/>
    <w:rsid w:val="00720829"/>
    <w:rsid w:val="00722FC3"/>
    <w:rsid w:val="00724192"/>
    <w:rsid w:val="007377F5"/>
    <w:rsid w:val="007431ED"/>
    <w:rsid w:val="0074344B"/>
    <w:rsid w:val="007627B2"/>
    <w:rsid w:val="00776098"/>
    <w:rsid w:val="00786280"/>
    <w:rsid w:val="007B2DE5"/>
    <w:rsid w:val="007B3CF2"/>
    <w:rsid w:val="007C3558"/>
    <w:rsid w:val="007C447E"/>
    <w:rsid w:val="007C4F42"/>
    <w:rsid w:val="007D2708"/>
    <w:rsid w:val="007E23E9"/>
    <w:rsid w:val="007E24DB"/>
    <w:rsid w:val="007E2FD9"/>
    <w:rsid w:val="007E508E"/>
    <w:rsid w:val="007E5AC0"/>
    <w:rsid w:val="007F2D7B"/>
    <w:rsid w:val="007F2DA9"/>
    <w:rsid w:val="007F3A0C"/>
    <w:rsid w:val="007F55DC"/>
    <w:rsid w:val="008021AA"/>
    <w:rsid w:val="00804FC8"/>
    <w:rsid w:val="00812639"/>
    <w:rsid w:val="008127E1"/>
    <w:rsid w:val="0081336C"/>
    <w:rsid w:val="00815AE2"/>
    <w:rsid w:val="00816009"/>
    <w:rsid w:val="00825BEF"/>
    <w:rsid w:val="0082671B"/>
    <w:rsid w:val="00832DAE"/>
    <w:rsid w:val="008336EF"/>
    <w:rsid w:val="00866660"/>
    <w:rsid w:val="008775FA"/>
    <w:rsid w:val="00880037"/>
    <w:rsid w:val="008B113C"/>
    <w:rsid w:val="008B5ED5"/>
    <w:rsid w:val="008C4385"/>
    <w:rsid w:val="008C50C1"/>
    <w:rsid w:val="008D399C"/>
    <w:rsid w:val="008D6C13"/>
    <w:rsid w:val="008F3446"/>
    <w:rsid w:val="008F5AFE"/>
    <w:rsid w:val="008F5EAD"/>
    <w:rsid w:val="008F65E0"/>
    <w:rsid w:val="00904C20"/>
    <w:rsid w:val="009101E1"/>
    <w:rsid w:val="00921ECB"/>
    <w:rsid w:val="00923080"/>
    <w:rsid w:val="0094307C"/>
    <w:rsid w:val="009469C6"/>
    <w:rsid w:val="00960F75"/>
    <w:rsid w:val="0097505A"/>
    <w:rsid w:val="00977E44"/>
    <w:rsid w:val="00983B5B"/>
    <w:rsid w:val="00984856"/>
    <w:rsid w:val="009903E5"/>
    <w:rsid w:val="009B5F5C"/>
    <w:rsid w:val="009D398B"/>
    <w:rsid w:val="009D4A04"/>
    <w:rsid w:val="009D4EAB"/>
    <w:rsid w:val="009D5192"/>
    <w:rsid w:val="009E191A"/>
    <w:rsid w:val="009F0E30"/>
    <w:rsid w:val="00A0206D"/>
    <w:rsid w:val="00A029FE"/>
    <w:rsid w:val="00A06BBF"/>
    <w:rsid w:val="00A1516D"/>
    <w:rsid w:val="00A17A47"/>
    <w:rsid w:val="00A17FB7"/>
    <w:rsid w:val="00A2049B"/>
    <w:rsid w:val="00A26A9B"/>
    <w:rsid w:val="00A26C13"/>
    <w:rsid w:val="00A34972"/>
    <w:rsid w:val="00A34FD6"/>
    <w:rsid w:val="00A44A4E"/>
    <w:rsid w:val="00A46F3B"/>
    <w:rsid w:val="00A57B38"/>
    <w:rsid w:val="00A600D4"/>
    <w:rsid w:val="00A622C2"/>
    <w:rsid w:val="00A63D8A"/>
    <w:rsid w:val="00A67F0E"/>
    <w:rsid w:val="00A81811"/>
    <w:rsid w:val="00A967DF"/>
    <w:rsid w:val="00AB269C"/>
    <w:rsid w:val="00AB6260"/>
    <w:rsid w:val="00AC4FBF"/>
    <w:rsid w:val="00AC7D8D"/>
    <w:rsid w:val="00AF5AD3"/>
    <w:rsid w:val="00B00D76"/>
    <w:rsid w:val="00B11793"/>
    <w:rsid w:val="00B15607"/>
    <w:rsid w:val="00B20590"/>
    <w:rsid w:val="00B376C8"/>
    <w:rsid w:val="00B4276C"/>
    <w:rsid w:val="00B52A6C"/>
    <w:rsid w:val="00B645A7"/>
    <w:rsid w:val="00B71577"/>
    <w:rsid w:val="00B801B9"/>
    <w:rsid w:val="00B8686E"/>
    <w:rsid w:val="00B9454A"/>
    <w:rsid w:val="00B97869"/>
    <w:rsid w:val="00BA28FD"/>
    <w:rsid w:val="00BB04F1"/>
    <w:rsid w:val="00BC1F81"/>
    <w:rsid w:val="00BC48A5"/>
    <w:rsid w:val="00BF05DF"/>
    <w:rsid w:val="00BF33BB"/>
    <w:rsid w:val="00C030E8"/>
    <w:rsid w:val="00C14079"/>
    <w:rsid w:val="00C21E60"/>
    <w:rsid w:val="00C27561"/>
    <w:rsid w:val="00C3682E"/>
    <w:rsid w:val="00C416C1"/>
    <w:rsid w:val="00C6033E"/>
    <w:rsid w:val="00C62A98"/>
    <w:rsid w:val="00C76576"/>
    <w:rsid w:val="00C8114B"/>
    <w:rsid w:val="00C83AFD"/>
    <w:rsid w:val="00C91F4D"/>
    <w:rsid w:val="00C92885"/>
    <w:rsid w:val="00C9473F"/>
    <w:rsid w:val="00C956F5"/>
    <w:rsid w:val="00C95D3D"/>
    <w:rsid w:val="00C96996"/>
    <w:rsid w:val="00CA13DA"/>
    <w:rsid w:val="00CA318B"/>
    <w:rsid w:val="00CB1388"/>
    <w:rsid w:val="00CC1C49"/>
    <w:rsid w:val="00CC2582"/>
    <w:rsid w:val="00CC478C"/>
    <w:rsid w:val="00CC6CC8"/>
    <w:rsid w:val="00CD1653"/>
    <w:rsid w:val="00CD2623"/>
    <w:rsid w:val="00CD33F4"/>
    <w:rsid w:val="00CD7494"/>
    <w:rsid w:val="00CE56EA"/>
    <w:rsid w:val="00CE7FCF"/>
    <w:rsid w:val="00CF0950"/>
    <w:rsid w:val="00D026EA"/>
    <w:rsid w:val="00D07720"/>
    <w:rsid w:val="00D12F58"/>
    <w:rsid w:val="00D14335"/>
    <w:rsid w:val="00D14E06"/>
    <w:rsid w:val="00D4147C"/>
    <w:rsid w:val="00D4186B"/>
    <w:rsid w:val="00D53D85"/>
    <w:rsid w:val="00D6030B"/>
    <w:rsid w:val="00D829AF"/>
    <w:rsid w:val="00D82FB7"/>
    <w:rsid w:val="00D92510"/>
    <w:rsid w:val="00DA2910"/>
    <w:rsid w:val="00DB03CA"/>
    <w:rsid w:val="00DB27E0"/>
    <w:rsid w:val="00DB55CE"/>
    <w:rsid w:val="00DC5407"/>
    <w:rsid w:val="00DC5A11"/>
    <w:rsid w:val="00DD1F8A"/>
    <w:rsid w:val="00DD2D33"/>
    <w:rsid w:val="00DD3598"/>
    <w:rsid w:val="00DE1AF3"/>
    <w:rsid w:val="00DF3013"/>
    <w:rsid w:val="00DF5DE8"/>
    <w:rsid w:val="00E019CB"/>
    <w:rsid w:val="00E02FFB"/>
    <w:rsid w:val="00E11105"/>
    <w:rsid w:val="00E12F9E"/>
    <w:rsid w:val="00E13E44"/>
    <w:rsid w:val="00E16A9C"/>
    <w:rsid w:val="00E17657"/>
    <w:rsid w:val="00E27629"/>
    <w:rsid w:val="00E67CE6"/>
    <w:rsid w:val="00E743E2"/>
    <w:rsid w:val="00E76FF6"/>
    <w:rsid w:val="00E808D0"/>
    <w:rsid w:val="00E87517"/>
    <w:rsid w:val="00E925BE"/>
    <w:rsid w:val="00E96070"/>
    <w:rsid w:val="00EA161F"/>
    <w:rsid w:val="00EA1755"/>
    <w:rsid w:val="00EB0A67"/>
    <w:rsid w:val="00EB1304"/>
    <w:rsid w:val="00EB2B2F"/>
    <w:rsid w:val="00EB2DF3"/>
    <w:rsid w:val="00EC4B77"/>
    <w:rsid w:val="00ED58A5"/>
    <w:rsid w:val="00ED7BA9"/>
    <w:rsid w:val="00EE2364"/>
    <w:rsid w:val="00EF25D3"/>
    <w:rsid w:val="00EF463F"/>
    <w:rsid w:val="00EF5030"/>
    <w:rsid w:val="00EF7121"/>
    <w:rsid w:val="00EF7254"/>
    <w:rsid w:val="00EF769C"/>
    <w:rsid w:val="00F1020F"/>
    <w:rsid w:val="00F175B2"/>
    <w:rsid w:val="00F22A26"/>
    <w:rsid w:val="00F30392"/>
    <w:rsid w:val="00F3105D"/>
    <w:rsid w:val="00F33E63"/>
    <w:rsid w:val="00F539B8"/>
    <w:rsid w:val="00F54F30"/>
    <w:rsid w:val="00F6614D"/>
    <w:rsid w:val="00F74D55"/>
    <w:rsid w:val="00F8464E"/>
    <w:rsid w:val="00F920FF"/>
    <w:rsid w:val="00FA0BC4"/>
    <w:rsid w:val="00FB3AD2"/>
    <w:rsid w:val="00FC2866"/>
    <w:rsid w:val="00FC47AF"/>
    <w:rsid w:val="00FC658D"/>
    <w:rsid w:val="00FD3084"/>
    <w:rsid w:val="00FF039A"/>
    <w:rsid w:val="00FF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9417C"/>
  <w15:chartTrackingRefBased/>
  <w15:docId w15:val="{2A67CDB1-31BF-484C-9DAD-14120F96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20D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454A"/>
    <w:pPr>
      <w:ind w:left="720"/>
      <w:contextualSpacing/>
    </w:pPr>
  </w:style>
  <w:style w:type="character" w:styleId="CommentReference">
    <w:name w:val="annotation reference"/>
    <w:basedOn w:val="DefaultParagraphFont"/>
    <w:uiPriority w:val="99"/>
    <w:semiHidden/>
    <w:unhideWhenUsed/>
    <w:rsid w:val="00BB04F1"/>
    <w:rPr>
      <w:sz w:val="16"/>
      <w:szCs w:val="16"/>
    </w:rPr>
  </w:style>
  <w:style w:type="paragraph" w:styleId="CommentText">
    <w:name w:val="annotation text"/>
    <w:basedOn w:val="Normal"/>
    <w:link w:val="CommentTextChar"/>
    <w:uiPriority w:val="99"/>
    <w:semiHidden/>
    <w:unhideWhenUsed/>
    <w:rsid w:val="00BB04F1"/>
    <w:pPr>
      <w:spacing w:line="240" w:lineRule="auto"/>
    </w:pPr>
    <w:rPr>
      <w:sz w:val="20"/>
      <w:szCs w:val="20"/>
    </w:rPr>
  </w:style>
  <w:style w:type="character" w:customStyle="1" w:styleId="CommentTextChar">
    <w:name w:val="Comment Text Char"/>
    <w:basedOn w:val="DefaultParagraphFont"/>
    <w:link w:val="CommentText"/>
    <w:uiPriority w:val="99"/>
    <w:semiHidden/>
    <w:rsid w:val="00BB04F1"/>
    <w:rPr>
      <w:sz w:val="20"/>
      <w:szCs w:val="20"/>
    </w:rPr>
  </w:style>
  <w:style w:type="paragraph" w:styleId="CommentSubject">
    <w:name w:val="annotation subject"/>
    <w:basedOn w:val="CommentText"/>
    <w:next w:val="CommentText"/>
    <w:link w:val="CommentSubjectChar"/>
    <w:uiPriority w:val="99"/>
    <w:semiHidden/>
    <w:unhideWhenUsed/>
    <w:rsid w:val="00BB04F1"/>
    <w:rPr>
      <w:b/>
      <w:bCs/>
    </w:rPr>
  </w:style>
  <w:style w:type="character" w:customStyle="1" w:styleId="CommentSubjectChar">
    <w:name w:val="Comment Subject Char"/>
    <w:basedOn w:val="CommentTextChar"/>
    <w:link w:val="CommentSubject"/>
    <w:uiPriority w:val="99"/>
    <w:semiHidden/>
    <w:rsid w:val="00BB04F1"/>
    <w:rPr>
      <w:b/>
      <w:bCs/>
      <w:sz w:val="20"/>
      <w:szCs w:val="20"/>
    </w:rPr>
  </w:style>
  <w:style w:type="paragraph" w:styleId="BalloonText">
    <w:name w:val="Balloon Text"/>
    <w:basedOn w:val="Normal"/>
    <w:link w:val="BalloonTextChar"/>
    <w:uiPriority w:val="99"/>
    <w:semiHidden/>
    <w:unhideWhenUsed/>
    <w:rsid w:val="00BB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F1"/>
    <w:rPr>
      <w:rFonts w:ascii="Segoe UI" w:hAnsi="Segoe UI" w:cs="Segoe UI"/>
      <w:sz w:val="18"/>
      <w:szCs w:val="18"/>
    </w:rPr>
  </w:style>
  <w:style w:type="character" w:styleId="Hyperlink">
    <w:name w:val="Hyperlink"/>
    <w:basedOn w:val="DefaultParagraphFont"/>
    <w:uiPriority w:val="99"/>
    <w:unhideWhenUsed/>
    <w:rsid w:val="002D6146"/>
    <w:rPr>
      <w:color w:val="0563C1" w:themeColor="hyperlink"/>
      <w:u w:val="single"/>
    </w:rPr>
  </w:style>
  <w:style w:type="paragraph" w:customStyle="1" w:styleId="EndNoteBibliography">
    <w:name w:val="EndNote Bibliography"/>
    <w:basedOn w:val="Normal"/>
    <w:link w:val="EndNoteBibliographyChar"/>
    <w:rsid w:val="00DB55C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B55CE"/>
    <w:rPr>
      <w:rFonts w:ascii="Calibri" w:hAnsi="Calibri" w:cs="Calibri"/>
      <w:noProof/>
    </w:rPr>
  </w:style>
  <w:style w:type="character" w:styleId="PlaceholderText">
    <w:name w:val="Placeholder Text"/>
    <w:basedOn w:val="DefaultParagraphFont"/>
    <w:uiPriority w:val="99"/>
    <w:semiHidden/>
    <w:rsid w:val="002548BF"/>
    <w:rPr>
      <w:color w:val="808080"/>
    </w:rPr>
  </w:style>
  <w:style w:type="paragraph" w:styleId="NormalWeb">
    <w:name w:val="Normal (Web)"/>
    <w:basedOn w:val="Normal"/>
    <w:uiPriority w:val="99"/>
    <w:semiHidden/>
    <w:unhideWhenUsed/>
    <w:rsid w:val="00C41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B5F12"/>
    <w:pPr>
      <w:autoSpaceDE w:val="0"/>
      <w:autoSpaceDN w:val="0"/>
      <w:adjustRightInd w:val="0"/>
      <w:spacing w:after="0" w:line="240" w:lineRule="auto"/>
    </w:pPr>
    <w:rPr>
      <w:rFonts w:ascii="Cambria" w:hAnsi="Cambria" w:cs="Cambria"/>
      <w:color w:val="000000"/>
      <w:sz w:val="24"/>
      <w:szCs w:val="24"/>
    </w:rPr>
  </w:style>
  <w:style w:type="table" w:customStyle="1" w:styleId="TableGrid2">
    <w:name w:val="Table Grid2"/>
    <w:basedOn w:val="TableNormal"/>
    <w:next w:val="TableGrid"/>
    <w:uiPriority w:val="59"/>
    <w:rsid w:val="008F34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1A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A27"/>
    <w:rPr>
      <w:sz w:val="20"/>
      <w:szCs w:val="20"/>
    </w:rPr>
  </w:style>
  <w:style w:type="character" w:styleId="FootnoteReference">
    <w:name w:val="footnote reference"/>
    <w:basedOn w:val="DefaultParagraphFont"/>
    <w:uiPriority w:val="99"/>
    <w:semiHidden/>
    <w:unhideWhenUsed/>
    <w:rsid w:val="003C1A27"/>
    <w:rPr>
      <w:vertAlign w:val="superscript"/>
    </w:rPr>
  </w:style>
  <w:style w:type="paragraph" w:styleId="Header">
    <w:name w:val="header"/>
    <w:basedOn w:val="Normal"/>
    <w:link w:val="HeaderChar"/>
    <w:uiPriority w:val="99"/>
    <w:unhideWhenUsed/>
    <w:rsid w:val="003C1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A27"/>
  </w:style>
  <w:style w:type="paragraph" w:styleId="Footer">
    <w:name w:val="footer"/>
    <w:basedOn w:val="Normal"/>
    <w:link w:val="FooterChar"/>
    <w:uiPriority w:val="99"/>
    <w:unhideWhenUsed/>
    <w:rsid w:val="003C1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0273">
      <w:bodyDiv w:val="1"/>
      <w:marLeft w:val="0"/>
      <w:marRight w:val="0"/>
      <w:marTop w:val="0"/>
      <w:marBottom w:val="0"/>
      <w:divBdr>
        <w:top w:val="none" w:sz="0" w:space="0" w:color="auto"/>
        <w:left w:val="none" w:sz="0" w:space="0" w:color="auto"/>
        <w:bottom w:val="none" w:sz="0" w:space="0" w:color="auto"/>
        <w:right w:val="none" w:sz="0" w:space="0" w:color="auto"/>
      </w:divBdr>
    </w:div>
    <w:div w:id="409934883">
      <w:bodyDiv w:val="1"/>
      <w:marLeft w:val="0"/>
      <w:marRight w:val="0"/>
      <w:marTop w:val="0"/>
      <w:marBottom w:val="0"/>
      <w:divBdr>
        <w:top w:val="none" w:sz="0" w:space="0" w:color="auto"/>
        <w:left w:val="none" w:sz="0" w:space="0" w:color="auto"/>
        <w:bottom w:val="none" w:sz="0" w:space="0" w:color="auto"/>
        <w:right w:val="none" w:sz="0" w:space="0" w:color="auto"/>
      </w:divBdr>
    </w:div>
    <w:div w:id="480849970">
      <w:bodyDiv w:val="1"/>
      <w:marLeft w:val="0"/>
      <w:marRight w:val="0"/>
      <w:marTop w:val="0"/>
      <w:marBottom w:val="0"/>
      <w:divBdr>
        <w:top w:val="none" w:sz="0" w:space="0" w:color="auto"/>
        <w:left w:val="none" w:sz="0" w:space="0" w:color="auto"/>
        <w:bottom w:val="none" w:sz="0" w:space="0" w:color="auto"/>
        <w:right w:val="none" w:sz="0" w:space="0" w:color="auto"/>
      </w:divBdr>
    </w:div>
    <w:div w:id="818231048">
      <w:bodyDiv w:val="1"/>
      <w:marLeft w:val="0"/>
      <w:marRight w:val="0"/>
      <w:marTop w:val="0"/>
      <w:marBottom w:val="0"/>
      <w:divBdr>
        <w:top w:val="none" w:sz="0" w:space="0" w:color="auto"/>
        <w:left w:val="none" w:sz="0" w:space="0" w:color="auto"/>
        <w:bottom w:val="none" w:sz="0" w:space="0" w:color="auto"/>
        <w:right w:val="none" w:sz="0" w:space="0" w:color="auto"/>
      </w:divBdr>
    </w:div>
    <w:div w:id="853346130">
      <w:bodyDiv w:val="1"/>
      <w:marLeft w:val="0"/>
      <w:marRight w:val="0"/>
      <w:marTop w:val="0"/>
      <w:marBottom w:val="0"/>
      <w:divBdr>
        <w:top w:val="none" w:sz="0" w:space="0" w:color="auto"/>
        <w:left w:val="none" w:sz="0" w:space="0" w:color="auto"/>
        <w:bottom w:val="none" w:sz="0" w:space="0" w:color="auto"/>
        <w:right w:val="none" w:sz="0" w:space="0" w:color="auto"/>
      </w:divBdr>
    </w:div>
    <w:div w:id="992292050">
      <w:bodyDiv w:val="1"/>
      <w:marLeft w:val="0"/>
      <w:marRight w:val="0"/>
      <w:marTop w:val="0"/>
      <w:marBottom w:val="0"/>
      <w:divBdr>
        <w:top w:val="none" w:sz="0" w:space="0" w:color="auto"/>
        <w:left w:val="none" w:sz="0" w:space="0" w:color="auto"/>
        <w:bottom w:val="none" w:sz="0" w:space="0" w:color="auto"/>
        <w:right w:val="none" w:sz="0" w:space="0" w:color="auto"/>
      </w:divBdr>
    </w:div>
    <w:div w:id="1255750282">
      <w:bodyDiv w:val="1"/>
      <w:marLeft w:val="0"/>
      <w:marRight w:val="0"/>
      <w:marTop w:val="0"/>
      <w:marBottom w:val="0"/>
      <w:divBdr>
        <w:top w:val="none" w:sz="0" w:space="0" w:color="auto"/>
        <w:left w:val="none" w:sz="0" w:space="0" w:color="auto"/>
        <w:bottom w:val="none" w:sz="0" w:space="0" w:color="auto"/>
        <w:right w:val="none" w:sz="0" w:space="0" w:color="auto"/>
      </w:divBdr>
    </w:div>
    <w:div w:id="1453088849">
      <w:bodyDiv w:val="1"/>
      <w:marLeft w:val="0"/>
      <w:marRight w:val="0"/>
      <w:marTop w:val="0"/>
      <w:marBottom w:val="0"/>
      <w:divBdr>
        <w:top w:val="none" w:sz="0" w:space="0" w:color="auto"/>
        <w:left w:val="none" w:sz="0" w:space="0" w:color="auto"/>
        <w:bottom w:val="none" w:sz="0" w:space="0" w:color="auto"/>
        <w:right w:val="none" w:sz="0" w:space="0" w:color="auto"/>
      </w:divBdr>
    </w:div>
    <w:div w:id="17522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g.tran@u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y.tran@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0971B-D010-41CF-8279-3200B4C9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6487</Words>
  <Characters>36981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5</cp:revision>
  <dcterms:created xsi:type="dcterms:W3CDTF">2019-03-25T17:08:00Z</dcterms:created>
  <dcterms:modified xsi:type="dcterms:W3CDTF">2019-03-25T17:11:00Z</dcterms:modified>
</cp:coreProperties>
</file>